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7094" w:rsidRPr="00C67094" w:rsidRDefault="00C67094" w:rsidP="00C67094">
      <w:pPr>
        <w:keepNext/>
        <w:keepLines/>
        <w:spacing w:before="40" w:after="0" w:line="256" w:lineRule="auto"/>
        <w:jc w:val="center"/>
        <w:outlineLvl w:val="1"/>
        <w:rPr>
          <w:rFonts w:ascii="Times New Roman" w:eastAsiaTheme="majorEastAsia" w:hAnsi="Times New Roman" w:cs="Times New Roman"/>
          <w:b/>
          <w:color w:val="000000"/>
          <w:kern w:val="0"/>
          <w:sz w:val="28"/>
          <w:szCs w:val="26"/>
          <w:lang w:val="es-MX"/>
          <w14:ligatures w14:val="none"/>
        </w:rPr>
      </w:pPr>
      <w:bookmarkStart w:id="0" w:name="_Toc218487758"/>
      <w:r w:rsidRPr="00C67094">
        <w:rPr>
          <w:rFonts w:ascii="Times New Roman" w:eastAsiaTheme="majorEastAsia" w:hAnsi="Times New Roman" w:cs="Times New Roman"/>
          <w:b/>
          <w:color w:val="C45911" w:themeColor="accent2" w:themeShade="BF"/>
          <w:kern w:val="0"/>
          <w:sz w:val="28"/>
          <w:szCs w:val="26"/>
          <w:lang w:val="es-VE"/>
          <w14:ligatures w14:val="none"/>
        </w:rPr>
        <w:t>VISION ONTOLÓGICA DEL PROCEDIMIENTO POR CONSUMO DE DROGAS EN LAS CIENCIAS FORENSES</w:t>
      </w:r>
      <w:bookmarkEnd w:id="0"/>
    </w:p>
    <w:p w:rsidR="00C67094" w:rsidRPr="00C67094" w:rsidRDefault="00C67094" w:rsidP="00C67094">
      <w:pPr>
        <w:spacing w:after="0" w:line="240" w:lineRule="auto"/>
        <w:jc w:val="center"/>
        <w:rPr>
          <w:rFonts w:ascii="Times New Roman" w:hAnsi="Times New Roman" w:cs="Times New Roman"/>
          <w:b/>
          <w:color w:val="000000"/>
          <w:kern w:val="0"/>
          <w:lang w:val="en-US"/>
          <w14:ligatures w14:val="none"/>
        </w:rPr>
      </w:pPr>
      <w:r w:rsidRPr="00C67094">
        <w:rPr>
          <w:rFonts w:ascii="Times New Roman" w:hAnsi="Times New Roman" w:cs="Times New Roman"/>
          <w:b/>
          <w:color w:val="000000"/>
          <w:kern w:val="0"/>
          <w:lang w:val="en-US"/>
          <w14:ligatures w14:val="none"/>
        </w:rPr>
        <w:t>ONTOLOGICAL VISION OF THE PROCEDURE FOR DRUG CONSUMPTION IN FORENSIC SCIENCES.</w:t>
      </w:r>
    </w:p>
    <w:p w:rsidR="00C67094" w:rsidRPr="00C67094" w:rsidRDefault="00C67094" w:rsidP="00C67094">
      <w:pPr>
        <w:spacing w:after="0" w:line="240" w:lineRule="auto"/>
        <w:jc w:val="center"/>
        <w:rPr>
          <w:rFonts w:ascii="Times New Roman" w:hAnsi="Times New Roman" w:cs="Times New Roman"/>
          <w:b/>
          <w:color w:val="000000"/>
          <w:kern w:val="0"/>
          <w:lang w:val="es-ES_tradnl"/>
          <w14:ligatures w14:val="none"/>
        </w:rPr>
      </w:pPr>
      <w:r w:rsidRPr="00C67094">
        <w:rPr>
          <w:rFonts w:ascii="Times New Roman" w:hAnsi="Times New Roman" w:cs="Times New Roman"/>
          <w:color w:val="000000"/>
          <w:kern w:val="0"/>
          <w:lang w:val="es-ES_tradnl"/>
          <w14:ligatures w14:val="none"/>
        </w:rPr>
        <w:t xml:space="preserve">Por: </w:t>
      </w:r>
      <w:r w:rsidRPr="00C67094">
        <w:rPr>
          <w:rFonts w:ascii="Times New Roman" w:hAnsi="Times New Roman" w:cs="Times New Roman"/>
          <w:b/>
          <w:color w:val="000000"/>
          <w:kern w:val="0"/>
          <w:lang w:val="es-ES_tradnl"/>
          <w14:ligatures w14:val="none"/>
        </w:rPr>
        <w:t>Deyanira Vásquez</w:t>
      </w:r>
    </w:p>
    <w:p w:rsidR="00C67094" w:rsidRPr="00C67094" w:rsidRDefault="00C67094" w:rsidP="00C67094">
      <w:pPr>
        <w:spacing w:after="0" w:line="240" w:lineRule="auto"/>
        <w:jc w:val="center"/>
        <w:rPr>
          <w:rFonts w:ascii="Times New Roman" w:hAnsi="Times New Roman" w:cs="Times New Roman"/>
          <w:b/>
          <w:color w:val="000000"/>
          <w:kern w:val="0"/>
          <w:lang w:val="es-ES_tradnl"/>
          <w14:ligatures w14:val="none"/>
        </w:rPr>
      </w:pPr>
      <w:r w:rsidRPr="00C67094">
        <w:rPr>
          <w:rFonts w:ascii="Times New Roman" w:hAnsi="Times New Roman" w:cs="Times New Roman"/>
          <w:b/>
          <w:color w:val="000000"/>
          <w:kern w:val="0"/>
          <w:lang w:val="es-ES_tradnl"/>
          <w14:ligatures w14:val="none"/>
        </w:rPr>
        <w:t>(</w:t>
      </w:r>
      <w:hyperlink r:id="rId8" w:history="1">
        <w:r w:rsidRPr="00C67094">
          <w:rPr>
            <w:rFonts w:ascii="Times New Roman" w:hAnsi="Times New Roman" w:cs="Times New Roman"/>
            <w:b/>
            <w:kern w:val="0"/>
            <w:lang w:val="es-ES_tradnl"/>
            <w14:ligatures w14:val="none"/>
          </w:rPr>
          <w:t>deyavaz79@gmail.com</w:t>
        </w:r>
      </w:hyperlink>
      <w:r w:rsidRPr="00C67094">
        <w:rPr>
          <w:rFonts w:ascii="Times New Roman" w:hAnsi="Times New Roman" w:cs="Times New Roman"/>
          <w:b/>
          <w:color w:val="000000"/>
          <w:kern w:val="0"/>
          <w:lang w:val="es-ES_tradnl"/>
          <w14:ligatures w14:val="none"/>
        </w:rPr>
        <w:t xml:space="preserve">) </w:t>
      </w:r>
    </w:p>
    <w:p w:rsidR="00C67094" w:rsidRPr="00C67094" w:rsidRDefault="00C67094" w:rsidP="00C67094">
      <w:pPr>
        <w:spacing w:after="0" w:line="240" w:lineRule="auto"/>
        <w:jc w:val="right"/>
        <w:rPr>
          <w:rFonts w:ascii="Times New Roman" w:hAnsi="Times New Roman" w:cs="Times New Roman"/>
          <w:color w:val="000000"/>
          <w:kern w:val="0"/>
          <w:lang w:val="es-ES_tradnl"/>
          <w14:ligatures w14:val="none"/>
        </w:rPr>
      </w:pPr>
      <w:r w:rsidRPr="00C67094">
        <w:rPr>
          <w:rFonts w:ascii="Times New Roman" w:hAnsi="Times New Roman" w:cs="Times New Roman"/>
          <w:color w:val="000000"/>
          <w:kern w:val="0"/>
          <w:lang w:val="es-ES_tradnl"/>
          <w14:ligatures w14:val="none"/>
        </w:rPr>
        <w:t>Recepción: 18/02/2025.</w:t>
      </w:r>
    </w:p>
    <w:p w:rsidR="00C67094" w:rsidRPr="00C67094" w:rsidRDefault="00C67094" w:rsidP="00C67094">
      <w:pPr>
        <w:spacing w:after="0" w:line="240" w:lineRule="auto"/>
        <w:jc w:val="right"/>
        <w:rPr>
          <w:rFonts w:ascii="Times New Roman" w:hAnsi="Times New Roman" w:cs="Times New Roman"/>
          <w:color w:val="000000"/>
          <w:kern w:val="0"/>
          <w:lang w:val="es-ES_tradnl"/>
          <w14:ligatures w14:val="none"/>
        </w:rPr>
      </w:pPr>
      <w:r w:rsidRPr="00C67094">
        <w:rPr>
          <w:rFonts w:ascii="Times New Roman" w:hAnsi="Times New Roman" w:cs="Times New Roman"/>
          <w:color w:val="000000"/>
          <w:kern w:val="0"/>
          <w:lang w:val="es-ES_tradnl"/>
          <w14:ligatures w14:val="none"/>
        </w:rPr>
        <w:t xml:space="preserve">Aprobado: 13/06/2025. </w:t>
      </w:r>
    </w:p>
    <w:p w:rsidR="00C67094" w:rsidRPr="00C67094" w:rsidRDefault="00C67094" w:rsidP="00C67094">
      <w:pPr>
        <w:spacing w:line="240" w:lineRule="auto"/>
        <w:jc w:val="center"/>
        <w:rPr>
          <w:rFonts w:ascii="Times New Roman" w:hAnsi="Times New Roman" w:cs="Times New Roman"/>
          <w:b/>
          <w:color w:val="000000"/>
          <w:kern w:val="0"/>
          <w:lang w:val="es-VE"/>
          <w14:ligatures w14:val="none"/>
        </w:rPr>
      </w:pPr>
      <w:r w:rsidRPr="00C67094">
        <w:rPr>
          <w:rFonts w:ascii="Times New Roman" w:hAnsi="Times New Roman" w:cs="Times New Roman"/>
          <w:b/>
          <w:color w:val="000000"/>
          <w:kern w:val="0"/>
          <w:lang w:val="es-VE"/>
          <w14:ligatures w14:val="none"/>
        </w:rPr>
        <w:t>RESUMEN</w:t>
      </w:r>
    </w:p>
    <w:p w:rsidR="00C67094" w:rsidRPr="00C67094" w:rsidRDefault="00C67094" w:rsidP="00C67094">
      <w:pPr>
        <w:spacing w:after="0" w:line="240" w:lineRule="auto"/>
        <w:jc w:val="both"/>
        <w:rPr>
          <w:rFonts w:ascii="Times New Roman" w:hAnsi="Times New Roman" w:cs="Times New Roman"/>
          <w:color w:val="000000"/>
          <w:kern w:val="0"/>
          <w:lang w:val="es-VE"/>
          <w14:ligatures w14:val="none"/>
        </w:rPr>
      </w:pPr>
      <w:r w:rsidRPr="00C67094">
        <w:rPr>
          <w:rFonts w:ascii="Times New Roman" w:hAnsi="Times New Roman" w:cs="Times New Roman"/>
          <w:color w:val="000000"/>
          <w:kern w:val="0"/>
          <w:lang w:val="es-VE"/>
          <w14:ligatures w14:val="none"/>
        </w:rPr>
        <w:t xml:space="preserve">El consumo de Drogas, es un tema que ha causado preocupación a la comunidad Internacional, es pues desde el año 1909 y gracias a la iniciativa de los Estado Unidos, en donde se convocó a 12 países para celebrar la Convención sobre el Opio, el cual buscaba limitar el consumo de opio, sentando las bases para celebrar por primera vez la conferencia Internacional en la Haya la cual derivo en la Convención Internacional del Opio en 1912. A partir de la primera convención hasta 1961, se habían celebrado no menos de 9 Convenciones para tratar el tema del consumo de Drogas, el cual en principio estaba limitado por el uso del opio, ingresando a éste campo, la cocaína y la Marihuana, trayendo como consecuencia, la promulgación de leyes especiales que en principio atacaran el flagelo del delito de tráfico, olvidando atacar la clase más vulnerada como lo es el consumo. En Venezuela, bajo la vigencia de la Ley Orgánica de Drogas, se enfoca el problema de las Drogas desde dos perspectivas; la de regular los delitos con ocasión al tráfico y la de reinserción a aquella persona que la consume, en razón a ello, se enfoca en la problemática del consumo de Drogas con la visión ontológica, que no es más que el estudio de la naturaleza del ser orientada a la realidad. </w:t>
      </w:r>
    </w:p>
    <w:p w:rsidR="00C67094" w:rsidRPr="00C67094" w:rsidRDefault="00C67094" w:rsidP="00C67094">
      <w:pPr>
        <w:spacing w:line="240" w:lineRule="auto"/>
        <w:jc w:val="both"/>
        <w:rPr>
          <w:rFonts w:ascii="Times New Roman" w:hAnsi="Times New Roman" w:cs="Times New Roman"/>
          <w:color w:val="000000"/>
          <w:kern w:val="0"/>
          <w:lang w:val="es-VE"/>
          <w14:ligatures w14:val="none"/>
        </w:rPr>
      </w:pPr>
      <w:r w:rsidRPr="00C67094">
        <w:rPr>
          <w:rFonts w:ascii="Times New Roman" w:hAnsi="Times New Roman" w:cs="Times New Roman"/>
          <w:b/>
          <w:color w:val="000000"/>
          <w:kern w:val="0"/>
          <w:lang w:val="es-VE"/>
          <w14:ligatures w14:val="none"/>
        </w:rPr>
        <w:t>Palabras clave:</w:t>
      </w:r>
      <w:r w:rsidRPr="00C67094">
        <w:rPr>
          <w:rFonts w:ascii="Times New Roman" w:hAnsi="Times New Roman" w:cs="Times New Roman"/>
          <w:color w:val="000000"/>
          <w:kern w:val="0"/>
          <w:lang w:val="es-VE"/>
          <w14:ligatures w14:val="none"/>
        </w:rPr>
        <w:t xml:space="preserve"> Consumo, drogas, medidas, tipo, seguridad.</w:t>
      </w:r>
    </w:p>
    <w:p w:rsidR="00C67094" w:rsidRPr="00C67094" w:rsidRDefault="00C67094" w:rsidP="00C67094">
      <w:pPr>
        <w:spacing w:line="240" w:lineRule="auto"/>
        <w:jc w:val="center"/>
        <w:rPr>
          <w:rFonts w:ascii="Times New Roman" w:hAnsi="Times New Roman" w:cs="Times New Roman"/>
          <w:b/>
          <w:color w:val="000000"/>
          <w:kern w:val="0"/>
          <w:lang w:val="en-US"/>
          <w14:ligatures w14:val="none"/>
        </w:rPr>
      </w:pPr>
      <w:r w:rsidRPr="00C67094">
        <w:rPr>
          <w:rFonts w:ascii="Times New Roman" w:hAnsi="Times New Roman" w:cs="Times New Roman"/>
          <w:b/>
          <w:color w:val="000000"/>
          <w:kern w:val="0"/>
          <w:lang w:val="en-US"/>
          <w14:ligatures w14:val="none"/>
        </w:rPr>
        <w:t>ABSTRACT</w:t>
      </w:r>
    </w:p>
    <w:p w:rsidR="00C67094" w:rsidRPr="00C67094" w:rsidRDefault="00C67094" w:rsidP="00C67094">
      <w:pPr>
        <w:spacing w:after="0" w:line="240" w:lineRule="auto"/>
        <w:jc w:val="both"/>
        <w:rPr>
          <w:rFonts w:ascii="Times New Roman" w:hAnsi="Times New Roman" w:cs="Times New Roman"/>
          <w:color w:val="000000"/>
          <w:kern w:val="0"/>
          <w:lang w:val="en-US"/>
          <w14:ligatures w14:val="none"/>
        </w:rPr>
      </w:pPr>
      <w:r w:rsidRPr="00C67094">
        <w:rPr>
          <w:rFonts w:ascii="Times New Roman" w:hAnsi="Times New Roman" w:cs="Times New Roman"/>
          <w:color w:val="000000"/>
          <w:kern w:val="0"/>
          <w:lang w:val="en-US"/>
          <w14:ligatures w14:val="none"/>
        </w:rPr>
        <w:t xml:space="preserve">Drug consumption is an issue that has caused concern to the international community, since 1909 and thanks to the initiative of the United States, where 12 countries were convened to celebrate the Opium Convention, which sought to limit the consumption of opium, laying the foundations to hold for the first time the International conference in The Hague which led to the International Opium Convention in 1912. From the first convention until 1961, no less than 9 Conventions had been held to address the issue of drug consumption, which in principle was limited by the use of opium, entering this field, cocaine and Marijuana, resulting in the enactment of special laws that in principle would attack the scourge of the crime of traffic, forgetting to attack the most vulnerable class such as consumption. In Venezuela, under the validity of the Organic Law on Drugs, the drug problem is approached from two perspectives; that of regulating crimes due to trafficking and that of reintegration </w:t>
      </w:r>
      <w:r w:rsidRPr="00C67094">
        <w:rPr>
          <w:rFonts w:ascii="Times New Roman" w:hAnsi="Times New Roman" w:cs="Times New Roman"/>
          <w:color w:val="000000"/>
          <w:kern w:val="0"/>
          <w:lang w:val="en-US"/>
          <w14:ligatures w14:val="none"/>
        </w:rPr>
        <w:lastRenderedPageBreak/>
        <w:t>of the person who consumes it, for this reason, it focuses on the problem of drug consumption with the ontological vision, which is nothing more than the study of the nature of the drug. be reality-oriented.</w:t>
      </w:r>
    </w:p>
    <w:p w:rsidR="00C67094" w:rsidRPr="00C67094" w:rsidRDefault="00C67094" w:rsidP="00C67094">
      <w:pPr>
        <w:spacing w:line="240" w:lineRule="auto"/>
        <w:jc w:val="both"/>
        <w:rPr>
          <w:rFonts w:ascii="Times New Roman" w:hAnsi="Times New Roman" w:cs="Times New Roman"/>
          <w:b/>
          <w:color w:val="000000"/>
          <w:kern w:val="0"/>
          <w:lang w:val="en-US"/>
          <w14:ligatures w14:val="none"/>
        </w:rPr>
      </w:pPr>
      <w:r w:rsidRPr="00C67094">
        <w:rPr>
          <w:rFonts w:ascii="Times New Roman" w:hAnsi="Times New Roman" w:cs="Times New Roman"/>
          <w:b/>
          <w:color w:val="000000"/>
          <w:kern w:val="0"/>
          <w:lang w:val="en-US"/>
          <w14:ligatures w14:val="none"/>
        </w:rPr>
        <w:t>Keywords:</w:t>
      </w:r>
      <w:r w:rsidRPr="00C67094">
        <w:rPr>
          <w:rFonts w:ascii="Times New Roman" w:hAnsi="Times New Roman" w:cs="Times New Roman"/>
          <w:color w:val="000000"/>
          <w:kern w:val="0"/>
          <w:lang w:val="en-US"/>
          <w14:ligatures w14:val="none"/>
        </w:rPr>
        <w:t xml:space="preserve"> Consumption, drugs, measures, type, safety.</w:t>
      </w:r>
    </w:p>
    <w:p w:rsidR="00C67094" w:rsidRPr="00C67094" w:rsidRDefault="00C67094" w:rsidP="00C67094">
      <w:pPr>
        <w:spacing w:after="0" w:line="256" w:lineRule="auto"/>
        <w:jc w:val="both"/>
        <w:rPr>
          <w:rFonts w:ascii="Times New Roman" w:hAnsi="Times New Roman" w:cs="Times New Roman"/>
          <w:b/>
          <w:color w:val="000000"/>
          <w:kern w:val="0"/>
          <w:lang w:val="en-US"/>
          <w14:ligatures w14:val="none"/>
        </w:rPr>
      </w:pPr>
    </w:p>
    <w:p w:rsidR="00C67094" w:rsidRPr="00C67094" w:rsidRDefault="00C67094" w:rsidP="00C67094">
      <w:pPr>
        <w:spacing w:line="256" w:lineRule="auto"/>
        <w:jc w:val="both"/>
        <w:rPr>
          <w:rFonts w:ascii="Times New Roman" w:hAnsi="Times New Roman" w:cs="Times New Roman"/>
          <w:b/>
          <w:color w:val="000000"/>
          <w:kern w:val="0"/>
          <w:lang w:val="es-VE"/>
          <w14:ligatures w14:val="none"/>
        </w:rPr>
      </w:pPr>
      <w:r w:rsidRPr="00C67094">
        <w:rPr>
          <w:rFonts w:ascii="Times New Roman" w:hAnsi="Times New Roman" w:cs="Times New Roman"/>
          <w:b/>
          <w:color w:val="000000"/>
          <w:kern w:val="0"/>
          <w:lang w:val="es-VE"/>
          <w14:ligatures w14:val="none"/>
        </w:rPr>
        <w:t>INTRODUCCIÓN</w:t>
      </w:r>
    </w:p>
    <w:p w:rsidR="00C67094" w:rsidRPr="00C67094" w:rsidRDefault="00C67094" w:rsidP="00C67094">
      <w:pPr>
        <w:spacing w:after="0" w:line="256" w:lineRule="auto"/>
        <w:ind w:firstLine="567"/>
        <w:jc w:val="both"/>
        <w:rPr>
          <w:rFonts w:ascii="Times New Roman" w:hAnsi="Times New Roman" w:cs="Times New Roman"/>
          <w:kern w:val="0"/>
          <w:lang w:val="es-VE"/>
          <w14:ligatures w14:val="none"/>
        </w:rPr>
      </w:pPr>
      <w:r w:rsidRPr="00C67094">
        <w:rPr>
          <w:rFonts w:ascii="Times New Roman" w:hAnsi="Times New Roman" w:cs="Times New Roman"/>
          <w:kern w:val="0"/>
          <w:lang w:val="es-VE"/>
          <w14:ligatures w14:val="none"/>
        </w:rPr>
        <w:t xml:space="preserve">El hombre desde el inicio de la humanidad, se ha preocupado por analizar las cosas a su entorno y buscar el beneficio práctico, es así cuando observaron las propiedades de ciertas plantas en donde al consumirlas, causaban un efecto alucinante que en principio fueron utilizadas para celebrar ritos a sus dioses y posteriormente como analgésicos ante cualquier enfermedad.  Sin embargo, el uso con el cual fue creado fue desnaturalizado trayendo como consecuencia graves daño a la sociedad por cuanto al utilizar estas sustancias, la persona no tiene dominio de sus capacidades </w:t>
      </w:r>
      <w:proofErr w:type="gramStart"/>
      <w:r w:rsidRPr="00C67094">
        <w:rPr>
          <w:rFonts w:ascii="Times New Roman" w:hAnsi="Times New Roman" w:cs="Times New Roman"/>
          <w:kern w:val="0"/>
          <w:lang w:val="es-VE"/>
          <w14:ligatures w14:val="none"/>
        </w:rPr>
        <w:t>y</w:t>
      </w:r>
      <w:proofErr w:type="gramEnd"/>
      <w:r w:rsidRPr="00C67094">
        <w:rPr>
          <w:rFonts w:ascii="Times New Roman" w:hAnsi="Times New Roman" w:cs="Times New Roman"/>
          <w:kern w:val="0"/>
          <w:lang w:val="es-VE"/>
          <w14:ligatures w14:val="none"/>
        </w:rPr>
        <w:t xml:space="preserve"> por ende, perpetran múltiples delitos, sin mencionar las vidas que se pierden por comercializar estas sustancias. </w:t>
      </w:r>
    </w:p>
    <w:p w:rsidR="00C67094" w:rsidRPr="00C67094" w:rsidRDefault="00C67094" w:rsidP="00C67094">
      <w:pPr>
        <w:spacing w:after="0" w:line="256" w:lineRule="auto"/>
        <w:jc w:val="both"/>
        <w:rPr>
          <w:rFonts w:ascii="Times New Roman" w:hAnsi="Times New Roman" w:cs="Times New Roman"/>
          <w:kern w:val="0"/>
          <w:lang w:val="es-VE"/>
          <w14:ligatures w14:val="none"/>
        </w:rPr>
      </w:pPr>
      <w:r w:rsidRPr="00C67094">
        <w:rPr>
          <w:rFonts w:ascii="Times New Roman" w:hAnsi="Times New Roman" w:cs="Times New Roman"/>
          <w:kern w:val="0"/>
          <w:lang w:val="es-VE"/>
          <w14:ligatures w14:val="none"/>
        </w:rPr>
        <w:tab/>
        <w:t>Ahora bien, el legislador patrio dispuso en la Ley Orgánica de Drogas, normas para tipificar los hechos punibles con respecto al delito de Drogas y paralelamente, plasmo un procedimiento novedoso aplicable a las personas que consumen estas sustancias, consideradas como enfermas, ya que el uso de las Drogas entre otros, afecta directamente al sistema nervioso central.</w:t>
      </w:r>
    </w:p>
    <w:p w:rsidR="00C67094" w:rsidRPr="00C67094" w:rsidRDefault="00C67094" w:rsidP="00C67094">
      <w:pPr>
        <w:spacing w:after="0" w:line="256" w:lineRule="auto"/>
        <w:jc w:val="both"/>
        <w:rPr>
          <w:rFonts w:ascii="Times New Roman" w:hAnsi="Times New Roman" w:cs="Times New Roman"/>
          <w:kern w:val="0"/>
          <w:lang w:val="es-VE"/>
          <w14:ligatures w14:val="none"/>
        </w:rPr>
      </w:pPr>
      <w:r w:rsidRPr="00C67094">
        <w:rPr>
          <w:rFonts w:ascii="Times New Roman" w:hAnsi="Times New Roman" w:cs="Times New Roman"/>
          <w:kern w:val="0"/>
          <w:lang w:val="es-VE"/>
          <w14:ligatures w14:val="none"/>
        </w:rPr>
        <w:tab/>
        <w:t>En éste orden de ideas, se abordará el Procedimiento por consumo de Drogas, su vinculación con las Ciencias Forenses, a la luz de la ontología forense.</w:t>
      </w:r>
      <w:r w:rsidRPr="00C67094">
        <w:rPr>
          <w:rFonts w:ascii="Times New Roman" w:hAnsi="Times New Roman" w:cs="Times New Roman"/>
          <w:kern w:val="0"/>
          <w:sz w:val="22"/>
          <w:szCs w:val="22"/>
          <w:lang w:val="es-VE"/>
          <w14:ligatures w14:val="none"/>
        </w:rPr>
        <w:t xml:space="preserve"> </w:t>
      </w:r>
      <w:r w:rsidRPr="00C67094">
        <w:rPr>
          <w:rFonts w:ascii="Times New Roman" w:hAnsi="Times New Roman" w:cs="Times New Roman"/>
          <w:kern w:val="0"/>
          <w:lang w:val="es-VE"/>
          <w14:ligatures w14:val="none"/>
        </w:rPr>
        <w:t>En el ámbito de las ciencias forenses, el estudio del consumo de drogas y sus efectos en el organismo humano es de vital importancia para la resolución de casos judiciales. La visión ontológica del procedimiento por consumo de drogas se refiere a la comprensión de la realidad de este fenómeno desde una perspectiva filosófica, que busca entender la naturaleza de las sustancias psicoactivas y su impacto en la conducta humana.</w:t>
      </w:r>
    </w:p>
    <w:p w:rsidR="00C67094" w:rsidRPr="00C67094" w:rsidRDefault="00C67094" w:rsidP="00C67094">
      <w:pPr>
        <w:spacing w:after="0" w:line="256" w:lineRule="auto"/>
        <w:ind w:firstLine="708"/>
        <w:jc w:val="both"/>
        <w:rPr>
          <w:rFonts w:ascii="Times New Roman" w:hAnsi="Times New Roman" w:cs="Times New Roman"/>
          <w:kern w:val="0"/>
          <w:lang w:val="es-VE"/>
          <w14:ligatures w14:val="none"/>
        </w:rPr>
      </w:pPr>
      <w:r w:rsidRPr="00C67094">
        <w:rPr>
          <w:rFonts w:ascii="Times New Roman" w:hAnsi="Times New Roman" w:cs="Times New Roman"/>
          <w:kern w:val="0"/>
          <w:lang w:val="es-VE"/>
          <w14:ligatures w14:val="none"/>
        </w:rPr>
        <w:t>La ontología es una rama de la filosofía que se encarga de estudiar la naturaleza del ser y la realidad. En el caso del consumo de drogas, la visión ontológica nos permite analizar la esencia de las sustancias psicoactivas, su interacción con el cuerpo humano y las consecuencias que esto puede tener en la salud y el comportamiento de las personas.</w:t>
      </w:r>
    </w:p>
    <w:p w:rsidR="00C67094" w:rsidRPr="00C67094" w:rsidRDefault="00C67094" w:rsidP="00C67094">
      <w:pPr>
        <w:spacing w:after="0" w:line="256" w:lineRule="auto"/>
        <w:ind w:firstLine="708"/>
        <w:jc w:val="both"/>
        <w:rPr>
          <w:rFonts w:ascii="Times New Roman" w:hAnsi="Times New Roman" w:cs="Times New Roman"/>
          <w:kern w:val="0"/>
          <w:lang w:val="es-VE"/>
          <w14:ligatures w14:val="none"/>
        </w:rPr>
      </w:pPr>
      <w:r w:rsidRPr="00C67094">
        <w:rPr>
          <w:rFonts w:ascii="Times New Roman" w:hAnsi="Times New Roman" w:cs="Times New Roman"/>
          <w:kern w:val="0"/>
          <w:lang w:val="es-VE"/>
          <w14:ligatures w14:val="none"/>
        </w:rPr>
        <w:t>Desde un enfoque analítico, es importante considerar que el consumo de drogas puede tener diferentes motivaciones y consecuencias para cada individuo. Algunas personas pueden recurrir a las drogas como una forma de escape o de búsqueda de placer, mientras que para otras puede ser una adicción que afecta su vida diaria y su entorno social.</w:t>
      </w:r>
    </w:p>
    <w:p w:rsidR="00C67094" w:rsidRPr="00C67094" w:rsidRDefault="00C67094" w:rsidP="00C67094">
      <w:pPr>
        <w:spacing w:after="0" w:line="256" w:lineRule="auto"/>
        <w:ind w:firstLine="708"/>
        <w:jc w:val="both"/>
        <w:rPr>
          <w:rFonts w:ascii="Times New Roman" w:hAnsi="Times New Roman" w:cs="Times New Roman"/>
          <w:kern w:val="0"/>
          <w:sz w:val="22"/>
          <w:szCs w:val="22"/>
          <w:lang w:val="es-VE"/>
          <w14:ligatures w14:val="none"/>
        </w:rPr>
      </w:pPr>
      <w:r w:rsidRPr="00C67094">
        <w:rPr>
          <w:rFonts w:ascii="Times New Roman" w:hAnsi="Times New Roman" w:cs="Times New Roman"/>
          <w:kern w:val="0"/>
          <w:lang w:val="es-VE"/>
          <w14:ligatures w14:val="none"/>
        </w:rPr>
        <w:t xml:space="preserve">En el ámbito forense, el estudio del consumo de drogas se realiza a través de pruebas toxicológicas que permiten detectar la presencia de sustancias en el organismo de una </w:t>
      </w:r>
      <w:r w:rsidRPr="00C67094">
        <w:rPr>
          <w:rFonts w:ascii="Times New Roman" w:hAnsi="Times New Roman" w:cs="Times New Roman"/>
          <w:kern w:val="0"/>
          <w:lang w:val="es-VE"/>
          <w14:ligatures w14:val="none"/>
        </w:rPr>
        <w:lastRenderedPageBreak/>
        <w:t>persona. Estas pruebas son fundamentales para determinar si el consumo de drogas ha sido un factor determinante en la comisión de un delito o en un accidente.</w:t>
      </w:r>
      <w:r w:rsidRPr="00C67094">
        <w:rPr>
          <w:rFonts w:ascii="Times New Roman" w:hAnsi="Times New Roman" w:cs="Times New Roman"/>
          <w:kern w:val="0"/>
          <w:sz w:val="22"/>
          <w:szCs w:val="22"/>
          <w:lang w:val="es-VE"/>
          <w14:ligatures w14:val="none"/>
        </w:rPr>
        <w:t xml:space="preserve"> </w:t>
      </w:r>
    </w:p>
    <w:p w:rsidR="00C67094" w:rsidRPr="00C67094" w:rsidRDefault="00C67094" w:rsidP="00C67094">
      <w:pPr>
        <w:spacing w:after="0" w:line="256" w:lineRule="auto"/>
        <w:ind w:firstLine="708"/>
        <w:jc w:val="both"/>
        <w:rPr>
          <w:rFonts w:ascii="Times New Roman" w:hAnsi="Times New Roman" w:cs="Times New Roman"/>
          <w:kern w:val="0"/>
          <w:lang w:val="es-VE"/>
          <w14:ligatures w14:val="none"/>
        </w:rPr>
      </w:pPr>
      <w:r w:rsidRPr="00C67094">
        <w:rPr>
          <w:rFonts w:ascii="Times New Roman" w:hAnsi="Times New Roman" w:cs="Times New Roman"/>
          <w:kern w:val="0"/>
          <w:lang w:val="es-VE"/>
          <w14:ligatures w14:val="none"/>
        </w:rPr>
        <w:t>La visión ontológica del procedimiento por consumo de drogas en las ciencias forenses nos invita a reflexionar sobre la complejidad de este fenómeno y a considerar las implicaciones éticas y morales que conlleva. Es importante tener en cuenta que el consumo de drogas no solo afecta al individuo que las consume, sino también a su entorno familiar, social y laboral.</w:t>
      </w:r>
    </w:p>
    <w:p w:rsidR="00C67094" w:rsidRPr="00C67094" w:rsidRDefault="00C67094" w:rsidP="00C67094">
      <w:pPr>
        <w:spacing w:after="0" w:line="256" w:lineRule="auto"/>
        <w:ind w:firstLine="708"/>
        <w:jc w:val="both"/>
        <w:rPr>
          <w:rFonts w:ascii="Times New Roman" w:hAnsi="Times New Roman" w:cs="Times New Roman"/>
          <w:kern w:val="0"/>
          <w:lang w:val="es-VE"/>
          <w14:ligatures w14:val="none"/>
        </w:rPr>
      </w:pPr>
      <w:r w:rsidRPr="00C67094">
        <w:rPr>
          <w:rFonts w:ascii="Times New Roman" w:hAnsi="Times New Roman" w:cs="Times New Roman"/>
          <w:kern w:val="0"/>
          <w:lang w:val="es-VE"/>
          <w14:ligatures w14:val="none"/>
        </w:rPr>
        <w:t xml:space="preserve">En concreto, la visión ontológica del procedimiento por consumo de drogas en las ciencias forenses nos permite comprender la naturaleza de este fenómeno desde una perspectiva filosófica, analítica y crítica. </w:t>
      </w:r>
    </w:p>
    <w:p w:rsidR="00C67094" w:rsidRPr="00C67094" w:rsidRDefault="00C67094" w:rsidP="00C67094">
      <w:pPr>
        <w:spacing w:after="0" w:line="256" w:lineRule="auto"/>
        <w:ind w:firstLine="708"/>
        <w:jc w:val="both"/>
        <w:rPr>
          <w:rFonts w:ascii="Times New Roman" w:hAnsi="Times New Roman" w:cs="Times New Roman"/>
          <w:kern w:val="0"/>
          <w:lang w:val="es-VE"/>
          <w14:ligatures w14:val="none"/>
        </w:rPr>
      </w:pPr>
      <w:r w:rsidRPr="00C67094">
        <w:rPr>
          <w:rFonts w:ascii="Times New Roman" w:hAnsi="Times New Roman" w:cs="Times New Roman"/>
          <w:kern w:val="0"/>
          <w:lang w:val="es-VE"/>
          <w14:ligatures w14:val="none"/>
        </w:rPr>
        <w:t>Es fundamental abordar este tema con rigurosidad y responsabilidad, con el objetivo de contribuir a la prevención y tratamiento de las adicciones, así como a la justicia y la seguridad de la sociedad en su conjunto.</w:t>
      </w:r>
    </w:p>
    <w:p w:rsidR="00C67094" w:rsidRPr="00C67094" w:rsidRDefault="00C67094" w:rsidP="00C67094">
      <w:pPr>
        <w:spacing w:after="0" w:line="240" w:lineRule="auto"/>
        <w:rPr>
          <w:rFonts w:ascii="Times New Roman" w:hAnsi="Times New Roman" w:cs="Times New Roman"/>
          <w:b/>
          <w:kern w:val="0"/>
          <w:sz w:val="22"/>
          <w:szCs w:val="22"/>
          <w:lang w:val="es-VE" w:eastAsia="es-VE"/>
          <w14:ligatures w14:val="none"/>
        </w:rPr>
      </w:pPr>
    </w:p>
    <w:p w:rsidR="00C67094" w:rsidRPr="00C67094" w:rsidRDefault="00C67094" w:rsidP="00C67094">
      <w:pPr>
        <w:spacing w:line="360" w:lineRule="auto"/>
        <w:rPr>
          <w:rFonts w:ascii="Times New Roman" w:hAnsi="Times New Roman" w:cs="Times New Roman"/>
          <w:b/>
          <w:kern w:val="0"/>
          <w:lang w:val="es-VE" w:eastAsia="es-VE"/>
          <w14:ligatures w14:val="none"/>
        </w:rPr>
      </w:pPr>
      <w:r w:rsidRPr="00C67094">
        <w:rPr>
          <w:rFonts w:ascii="Times New Roman" w:hAnsi="Times New Roman" w:cs="Times New Roman"/>
          <w:b/>
          <w:kern w:val="0"/>
          <w:lang w:val="es-VE" w:eastAsia="es-VE"/>
          <w14:ligatures w14:val="none"/>
        </w:rPr>
        <w:t>MATERIALES Y MÉTODOS</w:t>
      </w:r>
    </w:p>
    <w:p w:rsidR="00C67094" w:rsidRPr="00C67094" w:rsidRDefault="00C67094" w:rsidP="00C67094">
      <w:pPr>
        <w:spacing w:after="0" w:line="360" w:lineRule="auto"/>
        <w:ind w:firstLine="708"/>
        <w:jc w:val="both"/>
        <w:rPr>
          <w:rFonts w:ascii="Times New Roman" w:hAnsi="Times New Roman" w:cs="Times New Roman"/>
          <w:kern w:val="0"/>
          <w:lang w:val="es-VE" w:eastAsia="es-VE"/>
          <w14:ligatures w14:val="none"/>
        </w:rPr>
      </w:pPr>
      <w:r w:rsidRPr="00C67094">
        <w:rPr>
          <w:rFonts w:ascii="Times New Roman" w:hAnsi="Times New Roman" w:cs="Times New Roman"/>
          <w:kern w:val="0"/>
          <w:lang w:val="es-VE" w:eastAsia="es-VE"/>
          <w14:ligatures w14:val="none"/>
        </w:rPr>
        <w:t xml:space="preserve">Las ciencias forenses, son todas aquellas disciplinas encargadas de generar una prueba a partir de una determinada evidencia, con criterios de carácter científicos, para luego ser presentada ante el órgano jurisdiccional. </w:t>
      </w:r>
    </w:p>
    <w:p w:rsidR="00C67094" w:rsidRPr="00C67094" w:rsidRDefault="00C67094" w:rsidP="00C67094">
      <w:pPr>
        <w:spacing w:after="0" w:line="360" w:lineRule="auto"/>
        <w:jc w:val="both"/>
        <w:rPr>
          <w:rFonts w:ascii="Times New Roman" w:hAnsi="Times New Roman" w:cs="Times New Roman"/>
          <w:kern w:val="0"/>
          <w:lang w:val="es-VE" w:eastAsia="es-VE"/>
          <w14:ligatures w14:val="none"/>
        </w:rPr>
      </w:pPr>
      <w:r w:rsidRPr="00C67094">
        <w:rPr>
          <w:rFonts w:ascii="Times New Roman" w:hAnsi="Times New Roman" w:cs="Times New Roman"/>
          <w:kern w:val="0"/>
          <w:lang w:val="es-VE" w:eastAsia="es-VE"/>
          <w14:ligatures w14:val="none"/>
        </w:rPr>
        <w:tab/>
        <w:t xml:space="preserve">Ahora bien, dentro del Procedimiento por consumo de Drogas, la ciencia forense, tiene un papel fundamental, ya que, a través de sus diferentes disciplinas y su correcta valoración en forma conjunta, se puede determinar a una persona consumidora de Droga y, en consecuencia, aplicarse el procedimiento ajustado a derecho. </w:t>
      </w:r>
    </w:p>
    <w:p w:rsidR="00C67094" w:rsidRPr="00C67094" w:rsidRDefault="00C67094" w:rsidP="00C67094">
      <w:pPr>
        <w:spacing w:after="0" w:line="360" w:lineRule="auto"/>
        <w:ind w:firstLine="708"/>
        <w:jc w:val="both"/>
        <w:rPr>
          <w:rFonts w:ascii="Times New Roman" w:hAnsi="Times New Roman" w:cs="Times New Roman"/>
          <w:kern w:val="0"/>
          <w:lang w:val="es-VE" w:eastAsia="es-VE"/>
          <w14:ligatures w14:val="none"/>
        </w:rPr>
      </w:pPr>
      <w:r w:rsidRPr="00C67094">
        <w:rPr>
          <w:rFonts w:ascii="Times New Roman" w:hAnsi="Times New Roman" w:cs="Times New Roman"/>
          <w:kern w:val="0"/>
          <w:lang w:val="es-VE" w:eastAsia="es-VE"/>
          <w14:ligatures w14:val="none"/>
        </w:rPr>
        <w:t>En este aspecto, la visión ontológica del Procedimiento por consumo de Drogas relacionadas las ciencias Forenses, tienen como sustento, la intuición e la naturaleza del fenómeno del consumo de Drogas, desde el basamento filosófico frente a lo científico.</w:t>
      </w:r>
    </w:p>
    <w:p w:rsidR="00C67094" w:rsidRPr="00C67094" w:rsidRDefault="00C67094" w:rsidP="00C67094">
      <w:pPr>
        <w:spacing w:after="0" w:line="360" w:lineRule="auto"/>
        <w:jc w:val="both"/>
        <w:rPr>
          <w:rFonts w:ascii="Times New Roman" w:hAnsi="Times New Roman" w:cs="Times New Roman"/>
          <w:kern w:val="0"/>
          <w:lang w:val="es-VE" w:eastAsia="es-VE"/>
          <w14:ligatures w14:val="none"/>
        </w:rPr>
      </w:pPr>
      <w:r w:rsidRPr="00C67094">
        <w:rPr>
          <w:rFonts w:ascii="Times New Roman" w:hAnsi="Times New Roman" w:cs="Times New Roman"/>
          <w:kern w:val="0"/>
          <w:lang w:val="es-VE" w:eastAsia="es-VE"/>
          <w14:ligatures w14:val="none"/>
        </w:rPr>
        <w:tab/>
        <w:t xml:space="preserve">En efecto de las Ciencias Forenses, se derivan la medicina </w:t>
      </w:r>
      <w:proofErr w:type="spellStart"/>
      <w:r w:rsidRPr="00C67094">
        <w:rPr>
          <w:rFonts w:ascii="Times New Roman" w:hAnsi="Times New Roman" w:cs="Times New Roman"/>
          <w:kern w:val="0"/>
          <w:lang w:val="es-VE" w:eastAsia="es-VE"/>
          <w14:ligatures w14:val="none"/>
        </w:rPr>
        <w:t>Toxicologia</w:t>
      </w:r>
      <w:proofErr w:type="spellEnd"/>
      <w:r w:rsidRPr="00C67094">
        <w:rPr>
          <w:rFonts w:ascii="Times New Roman" w:hAnsi="Times New Roman" w:cs="Times New Roman"/>
          <w:kern w:val="0"/>
          <w:lang w:val="es-VE" w:eastAsia="es-VE"/>
          <w14:ligatures w14:val="none"/>
        </w:rPr>
        <w:t xml:space="preserve"> Forense, el cual desde el inicio nos facilita prueba de certeza para determinar si una persona está bajo los efectos de algún psicotrópico, seguidamente se encuentra la medicina Forense, el cual tiene relevancia en analizar y valorar a un ciudadano que, el cual manifieste ser consumidor de drogas, ya que del consumo de drogas, se presentan algunas características indicativas, tales </w:t>
      </w:r>
      <w:r w:rsidRPr="00C67094">
        <w:rPr>
          <w:rFonts w:ascii="Times New Roman" w:hAnsi="Times New Roman" w:cs="Times New Roman"/>
          <w:kern w:val="0"/>
          <w:lang w:val="es-VE" w:eastAsia="es-VE"/>
          <w14:ligatures w14:val="none"/>
        </w:rPr>
        <w:lastRenderedPageBreak/>
        <w:t>como los movimientos descontrolados de la persona presuntamente consumidora, ojos enrojecidos o pupilas dilatadas entre otros, para así arrojar un dictamen, que posteriormente se utilizara como medio de Prueba.</w:t>
      </w:r>
    </w:p>
    <w:p w:rsidR="00C67094" w:rsidRPr="00C67094" w:rsidRDefault="00C67094" w:rsidP="00C67094">
      <w:pPr>
        <w:spacing w:after="0" w:line="360" w:lineRule="auto"/>
        <w:jc w:val="both"/>
        <w:rPr>
          <w:rFonts w:ascii="Times New Roman" w:hAnsi="Times New Roman" w:cs="Times New Roman"/>
          <w:kern w:val="0"/>
          <w:lang w:val="es-VE" w:eastAsia="es-VE"/>
          <w14:ligatures w14:val="none"/>
        </w:rPr>
      </w:pPr>
      <w:r w:rsidRPr="00C67094">
        <w:rPr>
          <w:rFonts w:ascii="Times New Roman" w:hAnsi="Times New Roman" w:cs="Times New Roman"/>
          <w:kern w:val="0"/>
          <w:lang w:val="es-VE" w:eastAsia="es-VE"/>
          <w14:ligatures w14:val="none"/>
        </w:rPr>
        <w:tab/>
        <w:t xml:space="preserve"> De igual manera, las ciencias se valen de las Psicología y Psiquiatría Forense, las cuales valoran al presunto consumidor, cuyo resultado serán presentados ante el órgano jurisdiccional, siendo estos dictámenes vinculantes directamente ante la el respectivo Juez de Control para dar inicio al Procedimiento Previsto en el artículo 141 de la “Ley Orgánica de Drogas” (2010). De tal manera se reconoce que el consumo de Drogas, tiene un impacto en la realidad del individuo y por ende hay que aplicarle dicho tratamiento, diferenciándolo del traficante. </w:t>
      </w:r>
    </w:p>
    <w:p w:rsidR="00C67094" w:rsidRPr="00C67094" w:rsidRDefault="00C67094" w:rsidP="00C67094">
      <w:pPr>
        <w:spacing w:after="0" w:line="360" w:lineRule="auto"/>
        <w:ind w:firstLine="708"/>
        <w:jc w:val="both"/>
        <w:rPr>
          <w:rFonts w:ascii="Times New Roman" w:hAnsi="Times New Roman" w:cs="Times New Roman"/>
          <w:kern w:val="0"/>
          <w:lang w:val="es-VE" w:eastAsia="es-VE"/>
          <w14:ligatures w14:val="none"/>
        </w:rPr>
      </w:pPr>
      <w:r w:rsidRPr="00C67094">
        <w:rPr>
          <w:rFonts w:ascii="Times New Roman" w:hAnsi="Times New Roman" w:cs="Times New Roman"/>
          <w:kern w:val="0"/>
          <w:lang w:val="es-VE" w:eastAsia="es-VE"/>
          <w14:ligatures w14:val="none"/>
        </w:rPr>
        <w:t xml:space="preserve">Por ello se hace necesario estudiar el Fenómeno del Consumo de Drogas desde todas las perspectivas, no solo la Legal, sino por el contrario desde una perspectiva holística que tenga en cuenta la inclusión de los aspectos tanto médicos como sociales que llevaron a esa persona al consumo de Drogas. </w:t>
      </w:r>
    </w:p>
    <w:p w:rsidR="00C67094" w:rsidRPr="00C67094" w:rsidRDefault="00C67094" w:rsidP="00C67094">
      <w:pPr>
        <w:spacing w:after="0" w:line="360" w:lineRule="auto"/>
        <w:jc w:val="both"/>
        <w:rPr>
          <w:rFonts w:ascii="Times New Roman" w:hAnsi="Times New Roman" w:cs="Times New Roman"/>
          <w:kern w:val="0"/>
          <w:lang w:val="es-VE" w:eastAsia="es-VE"/>
          <w14:ligatures w14:val="none"/>
        </w:rPr>
      </w:pPr>
      <w:r w:rsidRPr="00C67094">
        <w:rPr>
          <w:rFonts w:ascii="Times New Roman" w:hAnsi="Times New Roman" w:cs="Times New Roman"/>
          <w:kern w:val="0"/>
          <w:lang w:val="es-VE" w:eastAsia="es-VE"/>
          <w14:ligatures w14:val="none"/>
        </w:rPr>
        <w:tab/>
        <w:t>Ahora bien, en enfoque ontológico juega un papel importante en la problemática del consumo de drogas al abordar la cuestión fundamental de la naturaleza de la realidad y la existencia. En el caso del consumo de drogas, la ontología puede ayudar a analizar y comprender las causas subyacentes de este comportamiento, así como las posibles soluciones para abordar este problema.</w:t>
      </w:r>
    </w:p>
    <w:p w:rsidR="00C67094" w:rsidRPr="00C67094" w:rsidRDefault="00C67094" w:rsidP="00C67094">
      <w:pPr>
        <w:spacing w:after="0" w:line="360" w:lineRule="auto"/>
        <w:jc w:val="both"/>
        <w:rPr>
          <w:rFonts w:ascii="Times New Roman" w:hAnsi="Times New Roman" w:cs="Times New Roman"/>
          <w:kern w:val="0"/>
          <w:lang w:val="es-VE" w:eastAsia="es-VE"/>
          <w14:ligatures w14:val="none"/>
        </w:rPr>
      </w:pPr>
      <w:r w:rsidRPr="00C67094">
        <w:rPr>
          <w:rFonts w:ascii="Times New Roman" w:hAnsi="Times New Roman" w:cs="Times New Roman"/>
          <w:kern w:val="0"/>
          <w:lang w:val="es-VE" w:eastAsia="es-VE"/>
          <w14:ligatures w14:val="none"/>
        </w:rPr>
        <w:tab/>
        <w:t>La ontología puede proporcionar una comprensión más profunda de las razones por las cuales las personas recurren al consumo de drogas, ya sea por motivos de escapismo, búsqueda de placer, problemas emocionales o sociales, entre otros. Al examinar la realidad existencial de las personas que consumen drogas, la ontología puede ayudar a identificar los factores subyacentes que influyen en su conducta y en sus decisiones.</w:t>
      </w:r>
    </w:p>
    <w:p w:rsidR="00C67094" w:rsidRPr="00C67094" w:rsidRDefault="00C67094" w:rsidP="00C67094">
      <w:pPr>
        <w:spacing w:after="0" w:line="360" w:lineRule="auto"/>
        <w:jc w:val="both"/>
        <w:rPr>
          <w:rFonts w:ascii="Times New Roman" w:hAnsi="Times New Roman" w:cs="Times New Roman"/>
          <w:kern w:val="0"/>
          <w:lang w:val="es-VE" w:eastAsia="es-VE"/>
          <w14:ligatures w14:val="none"/>
        </w:rPr>
      </w:pPr>
      <w:r w:rsidRPr="00C67094">
        <w:rPr>
          <w:rFonts w:ascii="Times New Roman" w:hAnsi="Times New Roman" w:cs="Times New Roman"/>
          <w:kern w:val="0"/>
          <w:lang w:val="es-VE" w:eastAsia="es-VE"/>
          <w14:ligatures w14:val="none"/>
        </w:rPr>
        <w:tab/>
        <w:t xml:space="preserve">Además, la ontología puede ofrecer una perspectiva filosófica sobre la naturaleza de la adicción y cómo se relaciona con la percepción que las personas tienen de sí mismas y del </w:t>
      </w:r>
      <w:r w:rsidRPr="00C67094">
        <w:rPr>
          <w:rFonts w:ascii="Times New Roman" w:hAnsi="Times New Roman" w:cs="Times New Roman"/>
          <w:kern w:val="0"/>
          <w:lang w:val="es-VE" w:eastAsia="es-VE"/>
          <w14:ligatures w14:val="none"/>
        </w:rPr>
        <w:lastRenderedPageBreak/>
        <w:t>mundo que las rodea. Al analizar la ontología del consumidor de drogas, es posible explorar cómo sus creencias, valores y percepciones influyen en su relación con las drogas y en su capacidad para superar la adicción.</w:t>
      </w:r>
    </w:p>
    <w:p w:rsidR="00C67094" w:rsidRPr="00C67094" w:rsidRDefault="00C67094" w:rsidP="00C67094">
      <w:pPr>
        <w:spacing w:after="0" w:line="360" w:lineRule="auto"/>
        <w:ind w:firstLine="708"/>
        <w:jc w:val="both"/>
        <w:rPr>
          <w:rFonts w:ascii="Times New Roman" w:hAnsi="Times New Roman" w:cs="Times New Roman"/>
          <w:kern w:val="0"/>
          <w:lang w:val="es-VE" w:eastAsia="es-VE"/>
          <w14:ligatures w14:val="none"/>
        </w:rPr>
      </w:pPr>
      <w:r w:rsidRPr="00C67094">
        <w:rPr>
          <w:rFonts w:ascii="Times New Roman" w:hAnsi="Times New Roman" w:cs="Times New Roman"/>
          <w:kern w:val="0"/>
          <w:lang w:val="es-VE" w:eastAsia="es-VE"/>
          <w14:ligatures w14:val="none"/>
        </w:rPr>
        <w:t>El marco metodológico, según opinión de Orozco, Labrador y Palencia (2010), “Corresponde al establecimiento de una sustentación procedimental-técnica, cualitativa o cuantitativa de la investigación a fin de precisar el método, los medios y las habilidades y destrezas utilizadas para la realización del estudio” (p. 40). De esta manera, se precisan en esta sección, algunos aspectos que forman parte del presente anteproyecto.</w:t>
      </w:r>
    </w:p>
    <w:p w:rsidR="00C67094" w:rsidRPr="00C67094" w:rsidRDefault="00C67094" w:rsidP="00C67094">
      <w:pPr>
        <w:spacing w:after="0" w:line="360" w:lineRule="auto"/>
        <w:ind w:firstLine="708"/>
        <w:jc w:val="both"/>
        <w:rPr>
          <w:rFonts w:ascii="Times New Roman" w:hAnsi="Times New Roman" w:cs="Times New Roman"/>
          <w:kern w:val="0"/>
          <w:lang w:val="es-VE" w:eastAsia="es-VE"/>
          <w14:ligatures w14:val="none"/>
        </w:rPr>
      </w:pPr>
      <w:r w:rsidRPr="00C67094">
        <w:rPr>
          <w:rFonts w:ascii="Times New Roman" w:hAnsi="Times New Roman" w:cs="Times New Roman"/>
          <w:kern w:val="0"/>
          <w:lang w:val="es-VE" w:eastAsia="es-VE"/>
          <w14:ligatures w14:val="none"/>
        </w:rPr>
        <w:t>De acuerdo con su naturaleza, se aplicará la metodología cualitativa, que es definida por Hernández, Fernández y Baptista (2003), como aquella que “se basa en métodos de recolección de datos sin medición numérica, como las descripciones y las observaciones por lo regular, las preguntas e hipótesis surgen como parte del proceso de investigación…su propósito consiste en “reconstruir” la realidad…” (p. 5). Significa entonces, que, a partir de estos supuestos, se procederá a explorar en los actores sociales que intervendrán, sus opiniones con relación al modelo interpretativo del criterio de consumo de marihuana y cocaína, en el contexto jurídico venezolano.</w:t>
      </w:r>
    </w:p>
    <w:p w:rsidR="00C67094" w:rsidRPr="00C67094" w:rsidRDefault="00C67094" w:rsidP="00C67094">
      <w:pPr>
        <w:spacing w:before="240" w:line="360" w:lineRule="auto"/>
        <w:rPr>
          <w:rFonts w:ascii="Times New Roman" w:hAnsi="Times New Roman" w:cs="Times New Roman"/>
          <w:b/>
          <w:color w:val="000000"/>
          <w:kern w:val="0"/>
          <w:lang w:val="es-VE"/>
          <w14:ligatures w14:val="none"/>
        </w:rPr>
      </w:pPr>
      <w:r w:rsidRPr="00C67094">
        <w:rPr>
          <w:rFonts w:ascii="Times New Roman" w:hAnsi="Times New Roman" w:cs="Times New Roman"/>
          <w:b/>
          <w:color w:val="000000"/>
          <w:kern w:val="0"/>
          <w:lang w:val="es-VE"/>
          <w14:ligatures w14:val="none"/>
        </w:rPr>
        <w:t>DISCUSIÓN Y RESULTADOS</w:t>
      </w:r>
    </w:p>
    <w:p w:rsidR="00C67094" w:rsidRPr="00C67094" w:rsidRDefault="00C67094" w:rsidP="00C67094">
      <w:pPr>
        <w:spacing w:after="0" w:line="360" w:lineRule="auto"/>
        <w:ind w:firstLine="708"/>
        <w:jc w:val="both"/>
        <w:rPr>
          <w:rFonts w:ascii="Times New Roman" w:hAnsi="Times New Roman" w:cs="Times New Roman"/>
          <w:kern w:val="0"/>
          <w:lang w:val="es-VE"/>
          <w14:ligatures w14:val="none"/>
        </w:rPr>
      </w:pPr>
      <w:r w:rsidRPr="00C67094">
        <w:rPr>
          <w:rFonts w:ascii="Times New Roman" w:hAnsi="Times New Roman" w:cs="Times New Roman"/>
          <w:kern w:val="0"/>
          <w:lang w:val="es-VE"/>
          <w14:ligatures w14:val="none"/>
        </w:rPr>
        <w:t xml:space="preserve">El análisis de la recepción de las ideas discusión sobre drogas en Venezuela muestra varias dimensiones relevantes, relaciones de saber-poder, poder disciplinar y </w:t>
      </w:r>
      <w:proofErr w:type="spellStart"/>
      <w:r w:rsidRPr="00C67094">
        <w:rPr>
          <w:rFonts w:ascii="Times New Roman" w:hAnsi="Times New Roman" w:cs="Times New Roman"/>
          <w:kern w:val="0"/>
          <w:lang w:val="es-VE"/>
          <w14:ligatures w14:val="none"/>
        </w:rPr>
        <w:t>panoptismo</w:t>
      </w:r>
      <w:proofErr w:type="spellEnd"/>
      <w:r w:rsidRPr="00C67094">
        <w:rPr>
          <w:rFonts w:ascii="Times New Roman" w:hAnsi="Times New Roman" w:cs="Times New Roman"/>
          <w:kern w:val="0"/>
          <w:lang w:val="es-VE"/>
          <w14:ligatures w14:val="none"/>
        </w:rPr>
        <w:t xml:space="preserve">: los estudios han utilizado la "analítica del poder" de </w:t>
      </w:r>
      <w:proofErr w:type="spellStart"/>
      <w:r w:rsidRPr="00C67094">
        <w:rPr>
          <w:rFonts w:ascii="Times New Roman" w:hAnsi="Times New Roman" w:cs="Times New Roman"/>
          <w:kern w:val="0"/>
          <w:lang w:val="es-VE"/>
          <w14:ligatures w14:val="none"/>
        </w:rPr>
        <w:t>Michels</w:t>
      </w:r>
      <w:proofErr w:type="spellEnd"/>
      <w:r w:rsidRPr="00C67094">
        <w:rPr>
          <w:rFonts w:ascii="Times New Roman" w:hAnsi="Times New Roman" w:cs="Times New Roman"/>
          <w:kern w:val="0"/>
          <w:lang w:val="es-VE"/>
          <w14:ligatures w14:val="none"/>
        </w:rPr>
        <w:t xml:space="preserve"> Foucault para analizar cómo el entramado de instituciones, leyes, prácticas y conocimientos ponen en juego relaciones de poder en la gestión de las experiencias con drogas. Esto ha permitido tematizar la producción de conocimiento, el papel del gremio médico-farmacéutico, la legalidad y los castigos penales.</w:t>
      </w:r>
    </w:p>
    <w:p w:rsidR="00C67094" w:rsidRPr="00C67094" w:rsidRDefault="00C67094" w:rsidP="00C67094">
      <w:pPr>
        <w:spacing w:after="0" w:line="360" w:lineRule="auto"/>
        <w:ind w:firstLine="708"/>
        <w:jc w:val="both"/>
        <w:rPr>
          <w:rFonts w:ascii="Times New Roman" w:hAnsi="Times New Roman" w:cs="Times New Roman"/>
          <w:kern w:val="0"/>
          <w:lang w:val="es-VE"/>
          <w14:ligatures w14:val="none"/>
        </w:rPr>
      </w:pPr>
      <w:r w:rsidRPr="00C67094">
        <w:rPr>
          <w:rFonts w:ascii="Times New Roman" w:hAnsi="Times New Roman" w:cs="Times New Roman"/>
          <w:kern w:val="0"/>
          <w:lang w:val="es-VE"/>
          <w14:ligatures w14:val="none"/>
        </w:rPr>
        <w:lastRenderedPageBreak/>
        <w:t xml:space="preserve">El enfoque de Foucault ha servido para </w:t>
      </w:r>
      <w:proofErr w:type="spellStart"/>
      <w:r w:rsidRPr="00C67094">
        <w:rPr>
          <w:rFonts w:ascii="Times New Roman" w:hAnsi="Times New Roman" w:cs="Times New Roman"/>
          <w:kern w:val="0"/>
          <w:lang w:val="es-VE"/>
          <w14:ligatures w14:val="none"/>
        </w:rPr>
        <w:t>historizar</w:t>
      </w:r>
      <w:proofErr w:type="spellEnd"/>
      <w:r w:rsidRPr="00C67094">
        <w:rPr>
          <w:rFonts w:ascii="Times New Roman" w:hAnsi="Times New Roman" w:cs="Times New Roman"/>
          <w:kern w:val="0"/>
          <w:lang w:val="es-VE"/>
          <w14:ligatures w14:val="none"/>
        </w:rPr>
        <w:t xml:space="preserve"> y problematizar la patologización de toda relación con drogas fuera del ámbito médico, así como la criminalización del consumo y el tráfico de drogas.</w:t>
      </w:r>
    </w:p>
    <w:p w:rsidR="00C67094" w:rsidRPr="00C67094" w:rsidRDefault="00C67094" w:rsidP="00C67094">
      <w:pPr>
        <w:spacing w:after="0" w:line="360" w:lineRule="auto"/>
        <w:ind w:firstLine="708"/>
        <w:jc w:val="both"/>
        <w:rPr>
          <w:rFonts w:ascii="Times New Roman" w:hAnsi="Times New Roman" w:cs="Times New Roman"/>
          <w:kern w:val="0"/>
          <w:lang w:val="es-VE"/>
          <w14:ligatures w14:val="none"/>
        </w:rPr>
      </w:pPr>
      <w:r w:rsidRPr="00C67094">
        <w:rPr>
          <w:rFonts w:ascii="Times New Roman" w:hAnsi="Times New Roman" w:cs="Times New Roman"/>
          <w:kern w:val="0"/>
          <w:lang w:val="es-VE"/>
          <w14:ligatures w14:val="none"/>
        </w:rPr>
        <w:t xml:space="preserve">Desde una perspectiva genealógica y </w:t>
      </w:r>
      <w:proofErr w:type="spellStart"/>
      <w:r w:rsidRPr="00C67094">
        <w:rPr>
          <w:rFonts w:ascii="Times New Roman" w:hAnsi="Times New Roman" w:cs="Times New Roman"/>
          <w:kern w:val="0"/>
          <w:lang w:val="es-VE"/>
          <w14:ligatures w14:val="none"/>
        </w:rPr>
        <w:t>biopolítica</w:t>
      </w:r>
      <w:proofErr w:type="spellEnd"/>
      <w:r w:rsidRPr="00C67094">
        <w:rPr>
          <w:rFonts w:ascii="Times New Roman" w:hAnsi="Times New Roman" w:cs="Times New Roman"/>
          <w:kern w:val="0"/>
          <w:lang w:val="es-VE"/>
          <w14:ligatures w14:val="none"/>
        </w:rPr>
        <w:t xml:space="preserve">, se ha analizado cómo en Venezuela en buena parte del siglo XX y XXI, se han delineado las experiencias actuales con las drogas a través de la </w:t>
      </w:r>
      <w:proofErr w:type="spellStart"/>
      <w:r w:rsidRPr="00C67094">
        <w:rPr>
          <w:rFonts w:ascii="Times New Roman" w:hAnsi="Times New Roman" w:cs="Times New Roman"/>
          <w:kern w:val="0"/>
          <w:lang w:val="es-VE"/>
          <w14:ligatures w14:val="none"/>
        </w:rPr>
        <w:t>securitización</w:t>
      </w:r>
      <w:proofErr w:type="spellEnd"/>
      <w:r w:rsidRPr="00C67094">
        <w:rPr>
          <w:rFonts w:ascii="Times New Roman" w:hAnsi="Times New Roman" w:cs="Times New Roman"/>
          <w:kern w:val="0"/>
          <w:lang w:val="es-VE"/>
          <w14:ligatures w14:val="none"/>
        </w:rPr>
        <w:t xml:space="preserve"> como estrategia gubernamental y la patologización de los consumidores.</w:t>
      </w:r>
    </w:p>
    <w:p w:rsidR="00C67094" w:rsidRPr="00C67094" w:rsidRDefault="00C67094" w:rsidP="00C67094">
      <w:pPr>
        <w:spacing w:after="0" w:line="360" w:lineRule="auto"/>
        <w:ind w:firstLine="708"/>
        <w:jc w:val="both"/>
        <w:rPr>
          <w:rFonts w:ascii="Times New Roman" w:hAnsi="Times New Roman" w:cs="Times New Roman"/>
          <w:kern w:val="0"/>
          <w:lang w:val="es-VE"/>
          <w14:ligatures w14:val="none"/>
        </w:rPr>
      </w:pPr>
      <w:r w:rsidRPr="00C67094">
        <w:rPr>
          <w:rFonts w:ascii="Times New Roman" w:hAnsi="Times New Roman" w:cs="Times New Roman"/>
          <w:kern w:val="0"/>
          <w:lang w:val="es-VE"/>
          <w14:ligatures w14:val="none"/>
        </w:rPr>
        <w:t>En cuanto a la visión ontológica del procedimiento forense, los manuales y protocolos enfatizan técnicas como ensayos presuntivos de color, cromatografía de capa fina y análisis toxicológicos para la identificación de drogas. Estos procedimientos buscan determinar la presencia o ausencia de sustancias psicoactivas en muestras biológicas, con el fin de apoyar procesos judiciales relacionados con el consumo y tráfico de drogas.</w:t>
      </w:r>
    </w:p>
    <w:p w:rsidR="00C67094" w:rsidRPr="00C67094" w:rsidRDefault="00C67094" w:rsidP="00C67094">
      <w:pPr>
        <w:spacing w:after="0" w:line="360" w:lineRule="auto"/>
        <w:ind w:firstLine="708"/>
        <w:jc w:val="both"/>
        <w:rPr>
          <w:rFonts w:ascii="Times New Roman" w:hAnsi="Times New Roman" w:cs="Times New Roman"/>
          <w:kern w:val="0"/>
          <w:lang w:val="es-VE"/>
          <w14:ligatures w14:val="none"/>
        </w:rPr>
      </w:pPr>
      <w:r w:rsidRPr="00C67094">
        <w:rPr>
          <w:rFonts w:ascii="Times New Roman" w:hAnsi="Times New Roman" w:cs="Times New Roman"/>
          <w:kern w:val="0"/>
          <w:lang w:val="es-VE"/>
          <w14:ligatures w14:val="none"/>
        </w:rPr>
        <w:t xml:space="preserve">En resumen, el análisis </w:t>
      </w:r>
      <w:proofErr w:type="spellStart"/>
      <w:r w:rsidRPr="00C67094">
        <w:rPr>
          <w:rFonts w:ascii="Times New Roman" w:hAnsi="Times New Roman" w:cs="Times New Roman"/>
          <w:kern w:val="0"/>
          <w:lang w:val="es-VE"/>
          <w14:ligatures w14:val="none"/>
        </w:rPr>
        <w:t>foucaultiano</w:t>
      </w:r>
      <w:proofErr w:type="spellEnd"/>
      <w:r w:rsidRPr="00C67094">
        <w:rPr>
          <w:rFonts w:ascii="Times New Roman" w:hAnsi="Times New Roman" w:cs="Times New Roman"/>
          <w:kern w:val="0"/>
          <w:lang w:val="es-VE"/>
          <w14:ligatures w14:val="none"/>
        </w:rPr>
        <w:t xml:space="preserve"> ha permitido problematizar la criminalización y patologización del consumo de drogas, mientras que los procedimientos forenses se enfocan en la detección analítica de sustancias para fines legales y punitivos; ambos enfoques reflejan diferentes dimensiones de la compleja relación entre conocimiento, poder y drogas.</w:t>
      </w:r>
    </w:p>
    <w:p w:rsidR="00C67094" w:rsidRPr="00C67094" w:rsidRDefault="00C67094" w:rsidP="00C67094">
      <w:pPr>
        <w:spacing w:line="240" w:lineRule="auto"/>
        <w:rPr>
          <w:rFonts w:ascii="Times New Roman" w:hAnsi="Times New Roman" w:cs="Times New Roman"/>
          <w:kern w:val="0"/>
          <w:sz w:val="22"/>
          <w:szCs w:val="22"/>
          <w:lang w:val="es-VE"/>
          <w14:ligatures w14:val="none"/>
        </w:rPr>
      </w:pPr>
    </w:p>
    <w:p w:rsidR="00C67094" w:rsidRPr="00C67094" w:rsidRDefault="00C67094" w:rsidP="00C67094">
      <w:pPr>
        <w:spacing w:line="360" w:lineRule="auto"/>
        <w:rPr>
          <w:rFonts w:ascii="Times New Roman" w:hAnsi="Times New Roman" w:cs="Times New Roman"/>
          <w:b/>
          <w:kern w:val="0"/>
          <w:sz w:val="22"/>
          <w:szCs w:val="22"/>
          <w:lang w:val="es-VE"/>
          <w14:ligatures w14:val="none"/>
        </w:rPr>
      </w:pPr>
      <w:r w:rsidRPr="00C67094">
        <w:rPr>
          <w:rFonts w:ascii="Times New Roman" w:hAnsi="Times New Roman" w:cs="Times New Roman"/>
          <w:b/>
          <w:kern w:val="0"/>
          <w:sz w:val="22"/>
          <w:szCs w:val="22"/>
          <w:lang w:val="es-VE"/>
          <w14:ligatures w14:val="none"/>
        </w:rPr>
        <w:t>CONCLUSIÓN</w:t>
      </w:r>
    </w:p>
    <w:p w:rsidR="00C67094" w:rsidRPr="00C67094" w:rsidRDefault="00C67094" w:rsidP="00C67094">
      <w:pPr>
        <w:spacing w:after="0" w:line="360" w:lineRule="auto"/>
        <w:ind w:firstLine="708"/>
        <w:jc w:val="both"/>
        <w:rPr>
          <w:rFonts w:ascii="Times New Roman" w:hAnsi="Times New Roman" w:cs="Times New Roman"/>
          <w:kern w:val="0"/>
          <w:lang w:val="es-VE"/>
          <w14:ligatures w14:val="none"/>
        </w:rPr>
      </w:pPr>
      <w:r w:rsidRPr="00C67094">
        <w:rPr>
          <w:rFonts w:ascii="Times New Roman" w:hAnsi="Times New Roman" w:cs="Times New Roman"/>
          <w:kern w:val="0"/>
          <w:lang w:val="es-VE"/>
          <w14:ligatures w14:val="none"/>
        </w:rPr>
        <w:t>La visión ontológica en las ciencias forenses en el ámbito jurídico venezolano se basa en la idea de que la verdad y la justicia deben ser los pilares fundamentales de cualquier investigación criminal. Desde esta perspectiva, se considera que la labor de los expertos forenses es fundamental para esclarecer los hechos y determinar la culpabilidad o inocencia de los implicados en un delito.</w:t>
      </w:r>
    </w:p>
    <w:p w:rsidR="00C67094" w:rsidRPr="00C67094" w:rsidRDefault="00C67094" w:rsidP="00C67094">
      <w:pPr>
        <w:spacing w:after="0" w:line="360" w:lineRule="auto"/>
        <w:jc w:val="both"/>
        <w:rPr>
          <w:rFonts w:ascii="Times New Roman" w:hAnsi="Times New Roman" w:cs="Times New Roman"/>
          <w:kern w:val="0"/>
          <w:lang w:val="es-VE"/>
          <w14:ligatures w14:val="none"/>
        </w:rPr>
      </w:pPr>
      <w:r w:rsidRPr="00C67094">
        <w:rPr>
          <w:rFonts w:ascii="Times New Roman" w:hAnsi="Times New Roman" w:cs="Times New Roman"/>
          <w:kern w:val="0"/>
          <w:lang w:val="es-VE"/>
          <w14:ligatures w14:val="none"/>
        </w:rPr>
        <w:tab/>
        <w:t xml:space="preserve">La ontología en las ciencias forenses se refiere al estudio de la realidad de los hechos a través de la evidencia física y científica disponible. En el contexto jurídico venezolano, esta </w:t>
      </w:r>
      <w:r w:rsidRPr="00C67094">
        <w:rPr>
          <w:rFonts w:ascii="Times New Roman" w:hAnsi="Times New Roman" w:cs="Times New Roman"/>
          <w:kern w:val="0"/>
          <w:lang w:val="es-VE"/>
          <w14:ligatures w14:val="none"/>
        </w:rPr>
        <w:lastRenderedPageBreak/>
        <w:t>visión ontológica busca restablecer la verdad y garantizar la justicia en los procesos judiciales, asegurando que las decisiones se basen en pruebas sólidas y objetivas.</w:t>
      </w:r>
    </w:p>
    <w:p w:rsidR="00C67094" w:rsidRPr="00C67094" w:rsidRDefault="00C67094" w:rsidP="00C67094">
      <w:pPr>
        <w:spacing w:after="0" w:line="360" w:lineRule="auto"/>
        <w:jc w:val="both"/>
        <w:rPr>
          <w:rFonts w:ascii="Times New Roman" w:hAnsi="Times New Roman" w:cs="Times New Roman"/>
          <w:kern w:val="0"/>
          <w:highlight w:val="white"/>
          <w:lang w:val="es-VE"/>
          <w14:ligatures w14:val="none"/>
        </w:rPr>
      </w:pPr>
      <w:r w:rsidRPr="00C67094">
        <w:rPr>
          <w:rFonts w:ascii="Times New Roman" w:hAnsi="Times New Roman" w:cs="Times New Roman"/>
          <w:kern w:val="0"/>
          <w:lang w:val="es-VE"/>
          <w14:ligatures w14:val="none"/>
        </w:rPr>
        <w:tab/>
        <w:t>Para lograr este objetivo, es necesario contar con un sistema forense sólido y eficiente que cuente con profesionales capacitados y equipos tecnológicos de vanguardia. Además, es fundamental que los expertos forenses actúen de manera imparcial y objetiva, respetando los derechos de todas las partes involucradas en el proceso judicial.</w:t>
      </w:r>
    </w:p>
    <w:p w:rsidR="00C67094" w:rsidRPr="00C67094" w:rsidRDefault="00C67094" w:rsidP="00C67094">
      <w:pPr>
        <w:spacing w:line="360" w:lineRule="auto"/>
        <w:rPr>
          <w:rFonts w:ascii="Times New Roman" w:hAnsi="Times New Roman" w:cs="Times New Roman"/>
          <w:kern w:val="0"/>
          <w:sz w:val="22"/>
          <w:szCs w:val="22"/>
          <w:highlight w:val="white"/>
          <w:lang w:val="es-VE"/>
          <w14:ligatures w14:val="none"/>
        </w:rPr>
      </w:pPr>
    </w:p>
    <w:p w:rsidR="00C67094" w:rsidRPr="00C67094" w:rsidRDefault="00C67094" w:rsidP="00C67094">
      <w:pPr>
        <w:spacing w:line="256" w:lineRule="auto"/>
        <w:rPr>
          <w:rFonts w:ascii="Times New Roman" w:hAnsi="Times New Roman" w:cs="Times New Roman"/>
          <w:b/>
          <w:kern w:val="0"/>
          <w:lang w:val="es-VE"/>
          <w14:ligatures w14:val="none"/>
        </w:rPr>
      </w:pPr>
      <w:r w:rsidRPr="00C67094">
        <w:rPr>
          <w:rFonts w:ascii="Times New Roman" w:hAnsi="Times New Roman" w:cs="Times New Roman"/>
          <w:b/>
          <w:kern w:val="0"/>
          <w:lang w:val="es-VE"/>
          <w14:ligatures w14:val="none"/>
        </w:rPr>
        <w:t>REFERENCIAS</w:t>
      </w:r>
    </w:p>
    <w:p w:rsidR="00C67094" w:rsidRPr="00C67094" w:rsidRDefault="00C67094" w:rsidP="00C67094">
      <w:pPr>
        <w:spacing w:after="0" w:line="256" w:lineRule="auto"/>
        <w:ind w:left="709" w:hanging="709"/>
        <w:jc w:val="both"/>
        <w:rPr>
          <w:rFonts w:ascii="Times New Roman" w:hAnsi="Times New Roman" w:cs="Times New Roman"/>
          <w:kern w:val="0"/>
          <w:lang w:val="es-VE"/>
          <w14:ligatures w14:val="none"/>
        </w:rPr>
      </w:pPr>
      <w:r w:rsidRPr="00C67094">
        <w:rPr>
          <w:rFonts w:ascii="Times New Roman" w:hAnsi="Times New Roman" w:cs="Times New Roman"/>
          <w:kern w:val="0"/>
          <w:lang w:val="es-VE"/>
          <w14:ligatures w14:val="none"/>
        </w:rPr>
        <w:t xml:space="preserve">Hernández, S, Fernández y Baptista (2006). Metodología de la Investigación. México: Editorial Mac Graw Hill.  </w:t>
      </w:r>
    </w:p>
    <w:p w:rsidR="00C67094" w:rsidRPr="00C67094" w:rsidRDefault="00C67094" w:rsidP="00C67094">
      <w:pPr>
        <w:spacing w:after="0" w:line="256" w:lineRule="auto"/>
        <w:ind w:left="709" w:hanging="709"/>
        <w:jc w:val="both"/>
        <w:rPr>
          <w:rFonts w:ascii="Times New Roman" w:hAnsi="Times New Roman" w:cs="Times New Roman"/>
          <w:kern w:val="0"/>
          <w:lang w:val="es-VE"/>
          <w14:ligatures w14:val="none"/>
        </w:rPr>
      </w:pPr>
      <w:r w:rsidRPr="00C67094">
        <w:rPr>
          <w:rFonts w:ascii="Times New Roman" w:hAnsi="Times New Roman" w:cs="Times New Roman"/>
          <w:kern w:val="0"/>
          <w:lang w:val="es-VE"/>
          <w14:ligatures w14:val="none"/>
        </w:rPr>
        <w:t xml:space="preserve">Informe Nacional Antidrogas (2023). </w:t>
      </w:r>
      <w:proofErr w:type="spellStart"/>
      <w:r w:rsidRPr="00C67094">
        <w:rPr>
          <w:rFonts w:ascii="Times New Roman" w:hAnsi="Times New Roman" w:cs="Times New Roman"/>
          <w:kern w:val="0"/>
          <w:lang w:val="es-VE"/>
          <w14:ligatures w14:val="none"/>
        </w:rPr>
        <w:t>SuperIntendencia</w:t>
      </w:r>
      <w:proofErr w:type="spellEnd"/>
      <w:r w:rsidRPr="00C67094">
        <w:rPr>
          <w:rFonts w:ascii="Times New Roman" w:hAnsi="Times New Roman" w:cs="Times New Roman"/>
          <w:kern w:val="0"/>
          <w:lang w:val="es-VE"/>
          <w14:ligatures w14:val="none"/>
        </w:rPr>
        <w:t xml:space="preserve"> Nacional Antidrogas</w:t>
      </w:r>
    </w:p>
    <w:p w:rsidR="00C67094" w:rsidRPr="00C67094" w:rsidRDefault="00C67094" w:rsidP="00C67094">
      <w:pPr>
        <w:spacing w:after="0" w:line="256" w:lineRule="auto"/>
        <w:ind w:left="709" w:hanging="709"/>
        <w:jc w:val="both"/>
        <w:rPr>
          <w:rFonts w:ascii="Times New Roman" w:hAnsi="Times New Roman" w:cs="Times New Roman"/>
          <w:kern w:val="0"/>
          <w:lang w:val="es-VE"/>
          <w14:ligatures w14:val="none"/>
        </w:rPr>
      </w:pPr>
      <w:r w:rsidRPr="00C67094">
        <w:rPr>
          <w:rFonts w:ascii="Times New Roman" w:hAnsi="Times New Roman" w:cs="Times New Roman"/>
          <w:kern w:val="0"/>
          <w:lang w:val="es-VE"/>
          <w14:ligatures w14:val="none"/>
        </w:rPr>
        <w:tab/>
        <w:t>Maldonado, P. (2009). Drogas, delito posesión consumo. Barquisimeto: Venezuela. Librería J. Rincón.</w:t>
      </w:r>
    </w:p>
    <w:p w:rsidR="00C67094" w:rsidRPr="00C67094" w:rsidRDefault="00C67094" w:rsidP="00C67094">
      <w:pPr>
        <w:spacing w:after="0" w:line="256" w:lineRule="auto"/>
        <w:ind w:left="709" w:hanging="709"/>
        <w:jc w:val="both"/>
        <w:rPr>
          <w:rFonts w:ascii="Times New Roman" w:hAnsi="Times New Roman" w:cs="Times New Roman"/>
          <w:kern w:val="0"/>
          <w:lang w:val="es-VE"/>
          <w14:ligatures w14:val="none"/>
        </w:rPr>
      </w:pPr>
      <w:r w:rsidRPr="00C67094">
        <w:rPr>
          <w:rFonts w:ascii="Times New Roman" w:hAnsi="Times New Roman" w:cs="Times New Roman"/>
          <w:kern w:val="0"/>
          <w:lang w:val="es-VE"/>
          <w14:ligatures w14:val="none"/>
        </w:rPr>
        <w:t xml:space="preserve">Orozco, C., Labrador, M.  y Palencia, A. (2010). Metodología. Manual Teórico Práctico de Metodología paras </w:t>
      </w:r>
      <w:proofErr w:type="spellStart"/>
      <w:r w:rsidRPr="00C67094">
        <w:rPr>
          <w:rFonts w:ascii="Times New Roman" w:hAnsi="Times New Roman" w:cs="Times New Roman"/>
          <w:kern w:val="0"/>
          <w:lang w:val="es-VE"/>
          <w14:ligatures w14:val="none"/>
        </w:rPr>
        <w:t>Tesistas</w:t>
      </w:r>
      <w:proofErr w:type="spellEnd"/>
      <w:r w:rsidRPr="00C67094">
        <w:rPr>
          <w:rFonts w:ascii="Times New Roman" w:hAnsi="Times New Roman" w:cs="Times New Roman"/>
          <w:kern w:val="0"/>
          <w:lang w:val="es-VE"/>
          <w14:ligatures w14:val="none"/>
        </w:rPr>
        <w:t xml:space="preserve">, Asesores, Tutores y Jurados de Trabajo de Investigación y Ascenso. Venezuela. Editor responsable: César </w:t>
      </w:r>
      <w:proofErr w:type="spellStart"/>
      <w:r w:rsidRPr="00C67094">
        <w:rPr>
          <w:rFonts w:ascii="Times New Roman" w:hAnsi="Times New Roman" w:cs="Times New Roman"/>
          <w:kern w:val="0"/>
          <w:lang w:val="es-VE"/>
          <w14:ligatures w14:val="none"/>
        </w:rPr>
        <w:t>Ecarri</w:t>
      </w:r>
      <w:proofErr w:type="spellEnd"/>
      <w:r w:rsidRPr="00C67094">
        <w:rPr>
          <w:rFonts w:ascii="Times New Roman" w:hAnsi="Times New Roman" w:cs="Times New Roman"/>
          <w:kern w:val="0"/>
          <w:lang w:val="es-VE"/>
          <w14:ligatures w14:val="none"/>
        </w:rPr>
        <w:t xml:space="preserve"> G.</w:t>
      </w:r>
    </w:p>
    <w:p w:rsidR="00C67094" w:rsidRPr="00C67094" w:rsidRDefault="00C67094" w:rsidP="00C67094">
      <w:pPr>
        <w:spacing w:after="0" w:line="256" w:lineRule="auto"/>
        <w:ind w:left="709" w:hanging="709"/>
        <w:jc w:val="both"/>
        <w:rPr>
          <w:rFonts w:ascii="Times New Roman" w:hAnsi="Times New Roman" w:cs="Times New Roman"/>
          <w:kern w:val="0"/>
          <w:lang w:val="es-VE"/>
          <w14:ligatures w14:val="none"/>
        </w:rPr>
      </w:pPr>
      <w:r w:rsidRPr="00C67094">
        <w:rPr>
          <w:rFonts w:ascii="Times New Roman" w:hAnsi="Times New Roman" w:cs="Times New Roman"/>
          <w:kern w:val="0"/>
          <w:lang w:val="es-VE"/>
          <w14:ligatures w14:val="none"/>
        </w:rPr>
        <w:t xml:space="preserve">Sistema APA, bibliografía, </w:t>
      </w:r>
      <w:proofErr w:type="spellStart"/>
      <w:r w:rsidRPr="00C67094">
        <w:rPr>
          <w:rFonts w:ascii="Times New Roman" w:hAnsi="Times New Roman" w:cs="Times New Roman"/>
          <w:kern w:val="0"/>
          <w:lang w:val="es-VE"/>
          <w14:ligatures w14:val="none"/>
        </w:rPr>
        <w:t>hemerografía</w:t>
      </w:r>
      <w:proofErr w:type="spellEnd"/>
      <w:r w:rsidRPr="00C67094">
        <w:rPr>
          <w:rFonts w:ascii="Times New Roman" w:hAnsi="Times New Roman" w:cs="Times New Roman"/>
          <w:kern w:val="0"/>
          <w:lang w:val="es-VE"/>
          <w14:ligatures w14:val="none"/>
        </w:rPr>
        <w:t>, páginas web, entre otras. (2024). Título de la publicación citada o trabajada como lectura de apoyo. Ciudad y/o país: auspiciador de la edición.</w:t>
      </w:r>
    </w:p>
    <w:p w:rsidR="00C67094" w:rsidRPr="00C67094" w:rsidRDefault="00C67094" w:rsidP="00C67094">
      <w:pPr>
        <w:spacing w:after="0" w:line="256" w:lineRule="auto"/>
        <w:ind w:left="709" w:hanging="709"/>
        <w:jc w:val="both"/>
        <w:rPr>
          <w:rFonts w:ascii="Times New Roman" w:hAnsi="Times New Roman" w:cs="Times New Roman"/>
          <w:kern w:val="0"/>
          <w:lang w:val="es-VE"/>
          <w14:ligatures w14:val="none"/>
        </w:rPr>
      </w:pPr>
      <w:r w:rsidRPr="00C67094">
        <w:rPr>
          <w:rFonts w:ascii="Times New Roman" w:hAnsi="Times New Roman" w:cs="Times New Roman"/>
          <w:kern w:val="0"/>
          <w:lang w:val="es-VE"/>
          <w14:ligatures w14:val="none"/>
        </w:rPr>
        <w:t>Ley Orgánica de Drogas (2010). Gaceta Oficial Nº 39.546. Caracas.  Asamblea Nacional. 05/11/2010.</w:t>
      </w:r>
    </w:p>
    <w:p w:rsidR="00F7551A" w:rsidRPr="00F7551A" w:rsidRDefault="00F7551A" w:rsidP="00C67094">
      <w:bookmarkStart w:id="1" w:name="_GoBack"/>
      <w:bookmarkEnd w:id="1"/>
    </w:p>
    <w:sectPr w:rsidR="00F7551A" w:rsidRPr="00F7551A" w:rsidSect="00C67094">
      <w:headerReference w:type="default" r:id="rId9"/>
      <w:footerReference w:type="default" r:id="rId10"/>
      <w:pgSz w:w="12240" w:h="15840" w:code="1"/>
      <w:pgMar w:top="3119" w:right="1701" w:bottom="1701" w:left="1701" w:header="709" w:footer="709" w:gutter="0"/>
      <w:pgNumType w:start="57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50A2" w:rsidRDefault="001450A2" w:rsidP="00A52E7F">
      <w:pPr>
        <w:spacing w:after="0" w:line="240" w:lineRule="auto"/>
      </w:pPr>
      <w:r>
        <w:separator/>
      </w:r>
    </w:p>
  </w:endnote>
  <w:endnote w:type="continuationSeparator" w:id="0">
    <w:p w:rsidR="001450A2" w:rsidRDefault="001450A2" w:rsidP="00A52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Calibri Light">
    <w:panose1 w:val="020F0302020204030204"/>
    <w:charset w:val="00"/>
    <w:family w:val="swiss"/>
    <w:pitch w:val="variable"/>
    <w:sig w:usb0="A0002AEF" w:usb1="4000207B" w:usb2="00000000"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DejaVu Sans">
    <w:altName w:val="Times New Roman"/>
    <w:charset w:val="00"/>
    <w:family w:val="swiss"/>
    <w:pitch w:val="variable"/>
    <w:sig w:usb0="00000000" w:usb1="D200FDFF" w:usb2="0A042029" w:usb3="00000000" w:csb0="8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0236583"/>
      <w:docPartObj>
        <w:docPartGallery w:val="Page Numbers (Bottom of Page)"/>
        <w:docPartUnique/>
      </w:docPartObj>
    </w:sdtPr>
    <w:sdtEndPr/>
    <w:sdtContent>
      <w:p w:rsidR="000A1408" w:rsidRDefault="000A1408">
        <w:pPr>
          <w:pStyle w:val="Piedepgina"/>
          <w:jc w:val="right"/>
        </w:pPr>
        <w:r>
          <w:fldChar w:fldCharType="begin"/>
        </w:r>
        <w:r>
          <w:instrText>PAGE   \* MERGEFORMAT</w:instrText>
        </w:r>
        <w:r>
          <w:fldChar w:fldCharType="separate"/>
        </w:r>
        <w:r w:rsidR="00C67094" w:rsidRPr="00C67094">
          <w:rPr>
            <w:noProof/>
            <w:lang w:val="es-ES"/>
          </w:rPr>
          <w:t>576</w:t>
        </w:r>
        <w:r>
          <w:fldChar w:fldCharType="end"/>
        </w:r>
      </w:p>
    </w:sdtContent>
  </w:sdt>
  <w:p w:rsidR="0088363F" w:rsidRDefault="0088363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50A2" w:rsidRDefault="001450A2" w:rsidP="00A52E7F">
      <w:pPr>
        <w:spacing w:after="0" w:line="240" w:lineRule="auto"/>
      </w:pPr>
      <w:r>
        <w:separator/>
      </w:r>
    </w:p>
  </w:footnote>
  <w:footnote w:type="continuationSeparator" w:id="0">
    <w:p w:rsidR="001450A2" w:rsidRDefault="001450A2" w:rsidP="00A52E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2E7F" w:rsidRDefault="00A52E7F" w:rsidP="00A52E7F">
    <w:pPr>
      <w:pStyle w:val="Encabezado"/>
      <w:jc w:val="center"/>
    </w:pPr>
    <w:r>
      <w:rPr>
        <w:noProof/>
        <w:lang w:eastAsia="es-419"/>
      </w:rPr>
      <w:drawing>
        <wp:anchor distT="0" distB="0" distL="114300" distR="114300" simplePos="0" relativeHeight="251660288" behindDoc="0" locked="0" layoutInCell="1" allowOverlap="1" wp14:anchorId="7010C21A" wp14:editId="4DF34E30">
          <wp:simplePos x="0" y="0"/>
          <wp:positionH relativeFrom="column">
            <wp:posOffset>4867121</wp:posOffset>
          </wp:positionH>
          <wp:positionV relativeFrom="paragraph">
            <wp:posOffset>-305109</wp:posOffset>
          </wp:positionV>
          <wp:extent cx="1256030" cy="1475105"/>
          <wp:effectExtent l="0" t="0" r="1270" b="0"/>
          <wp:wrapThrough wrapText="bothSides">
            <wp:wrapPolygon edited="0">
              <wp:start x="0" y="0"/>
              <wp:lineTo x="0" y="21200"/>
              <wp:lineTo x="21294" y="21200"/>
              <wp:lineTo x="21294"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6030" cy="147510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419"/>
      </w:rPr>
      <w:drawing>
        <wp:anchor distT="0" distB="0" distL="114300" distR="114300" simplePos="0" relativeHeight="251659264" behindDoc="0" locked="0" layoutInCell="1" allowOverlap="1" wp14:anchorId="0A0B7343" wp14:editId="7451936C">
          <wp:simplePos x="0" y="0"/>
          <wp:positionH relativeFrom="column">
            <wp:posOffset>-657670</wp:posOffset>
          </wp:positionH>
          <wp:positionV relativeFrom="paragraph">
            <wp:posOffset>-222250</wp:posOffset>
          </wp:positionV>
          <wp:extent cx="1329055" cy="1322705"/>
          <wp:effectExtent l="0" t="0" r="4445" b="0"/>
          <wp:wrapThrough wrapText="bothSides">
            <wp:wrapPolygon edited="0">
              <wp:start x="0" y="0"/>
              <wp:lineTo x="0" y="21154"/>
              <wp:lineTo x="21363" y="21154"/>
              <wp:lineTo x="21363" y="0"/>
              <wp:lineTo x="0" y="0"/>
            </wp:wrapPolygon>
          </wp:wrapThrough>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9055" cy="132270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419"/>
      </w:rPr>
      <w:drawing>
        <wp:inline distT="0" distB="0" distL="0" distR="0" wp14:anchorId="78919E60" wp14:editId="0575CABB">
          <wp:extent cx="3078480" cy="951230"/>
          <wp:effectExtent l="0" t="0" r="7620" b="127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78480" cy="95123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07F46"/>
    <w:multiLevelType w:val="hybridMultilevel"/>
    <w:tmpl w:val="04D24ABA"/>
    <w:lvl w:ilvl="0" w:tplc="F684B9B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183B45BD"/>
    <w:multiLevelType w:val="hybridMultilevel"/>
    <w:tmpl w:val="4F749A84"/>
    <w:lvl w:ilvl="0" w:tplc="200A000F">
      <w:start w:val="1"/>
      <w:numFmt w:val="decimal"/>
      <w:lvlText w:val="%1."/>
      <w:lvlJc w:val="left"/>
      <w:pPr>
        <w:ind w:left="720" w:hanging="360"/>
      </w:pPr>
    </w:lvl>
    <w:lvl w:ilvl="1" w:tplc="200A0001">
      <w:start w:val="1"/>
      <w:numFmt w:val="bullet"/>
      <w:lvlText w:val=""/>
      <w:lvlJc w:val="left"/>
      <w:pPr>
        <w:ind w:left="1440" w:hanging="360"/>
      </w:pPr>
      <w:rPr>
        <w:rFonts w:ascii="Symbol" w:hAnsi="Symbol" w:hint="default"/>
      </w:rPr>
    </w:lvl>
    <w:lvl w:ilvl="2" w:tplc="324ACBAE">
      <w:start w:val="10"/>
      <w:numFmt w:val="bullet"/>
      <w:lvlText w:val="•"/>
      <w:lvlJc w:val="left"/>
      <w:pPr>
        <w:ind w:left="2690" w:hanging="710"/>
      </w:pPr>
      <w:rPr>
        <w:rFonts w:ascii="Times New Roman" w:eastAsiaTheme="minorHAnsi" w:hAnsi="Times New Roman" w:cs="Times New Roman" w:hint="default"/>
      </w:rPr>
    </w:lvl>
    <w:lvl w:ilvl="3" w:tplc="4F108C5E">
      <w:start w:val="1"/>
      <w:numFmt w:val="lowerLetter"/>
      <w:lvlText w:val="%4)"/>
      <w:lvlJc w:val="left"/>
      <w:pPr>
        <w:ind w:left="2880" w:hanging="360"/>
      </w:pPr>
      <w:rPr>
        <w:rFonts w:hint="default"/>
      </w:r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 w15:restartNumberingAfterBreak="0">
    <w:nsid w:val="1C0B7F39"/>
    <w:multiLevelType w:val="hybridMultilevel"/>
    <w:tmpl w:val="AFBEBD08"/>
    <w:lvl w:ilvl="0" w:tplc="6FFC875E">
      <w:start w:val="1"/>
      <w:numFmt w:val="upperLetter"/>
      <w:lvlText w:val="%1-"/>
      <w:lvlJc w:val="left"/>
      <w:pPr>
        <w:ind w:left="720" w:hanging="360"/>
      </w:pPr>
      <w:rPr>
        <w:rFonts w:ascii="Times New Roman" w:hAnsi="Times New Roman" w:cs="Times New Roman" w:hint="default"/>
        <w:b/>
        <w:color w:val="1A1A1A"/>
        <w:sz w:val="24"/>
      </w:rPr>
    </w:lvl>
    <w:lvl w:ilvl="1" w:tplc="200A0019">
      <w:start w:val="1"/>
      <w:numFmt w:val="lowerLetter"/>
      <w:lvlText w:val="%2."/>
      <w:lvlJc w:val="left"/>
      <w:pPr>
        <w:ind w:left="1440" w:hanging="360"/>
      </w:pPr>
    </w:lvl>
    <w:lvl w:ilvl="2" w:tplc="200A001B">
      <w:start w:val="1"/>
      <w:numFmt w:val="lowerRoman"/>
      <w:lvlText w:val="%3."/>
      <w:lvlJc w:val="right"/>
      <w:pPr>
        <w:ind w:left="2160" w:hanging="180"/>
      </w:pPr>
    </w:lvl>
    <w:lvl w:ilvl="3" w:tplc="200A000F">
      <w:start w:val="1"/>
      <w:numFmt w:val="decimal"/>
      <w:lvlText w:val="%4."/>
      <w:lvlJc w:val="left"/>
      <w:pPr>
        <w:ind w:left="2880" w:hanging="360"/>
      </w:pPr>
    </w:lvl>
    <w:lvl w:ilvl="4" w:tplc="200A0019">
      <w:start w:val="1"/>
      <w:numFmt w:val="lowerLetter"/>
      <w:lvlText w:val="%5."/>
      <w:lvlJc w:val="left"/>
      <w:pPr>
        <w:ind w:left="3600" w:hanging="360"/>
      </w:pPr>
    </w:lvl>
    <w:lvl w:ilvl="5" w:tplc="200A001B">
      <w:start w:val="1"/>
      <w:numFmt w:val="lowerRoman"/>
      <w:lvlText w:val="%6."/>
      <w:lvlJc w:val="right"/>
      <w:pPr>
        <w:ind w:left="4320" w:hanging="180"/>
      </w:pPr>
    </w:lvl>
    <w:lvl w:ilvl="6" w:tplc="200A000F">
      <w:start w:val="1"/>
      <w:numFmt w:val="decimal"/>
      <w:lvlText w:val="%7."/>
      <w:lvlJc w:val="left"/>
      <w:pPr>
        <w:ind w:left="5040" w:hanging="360"/>
      </w:pPr>
    </w:lvl>
    <w:lvl w:ilvl="7" w:tplc="200A0019">
      <w:start w:val="1"/>
      <w:numFmt w:val="lowerLetter"/>
      <w:lvlText w:val="%8."/>
      <w:lvlJc w:val="left"/>
      <w:pPr>
        <w:ind w:left="5760" w:hanging="360"/>
      </w:pPr>
    </w:lvl>
    <w:lvl w:ilvl="8" w:tplc="200A001B">
      <w:start w:val="1"/>
      <w:numFmt w:val="lowerRoman"/>
      <w:lvlText w:val="%9."/>
      <w:lvlJc w:val="right"/>
      <w:pPr>
        <w:ind w:left="6480" w:hanging="180"/>
      </w:pPr>
    </w:lvl>
  </w:abstractNum>
  <w:abstractNum w:abstractNumId="3" w15:restartNumberingAfterBreak="0">
    <w:nsid w:val="1F6341F0"/>
    <w:multiLevelType w:val="hybridMultilevel"/>
    <w:tmpl w:val="823EF694"/>
    <w:lvl w:ilvl="0" w:tplc="42FA00B6">
      <w:start w:val="1"/>
      <w:numFmt w:val="decimal"/>
      <w:lvlText w:val="%1-"/>
      <w:lvlJc w:val="left"/>
      <w:pPr>
        <w:ind w:left="786" w:hanging="360"/>
      </w:pPr>
      <w:rPr>
        <w:b w:val="0"/>
      </w:rPr>
    </w:lvl>
    <w:lvl w:ilvl="1" w:tplc="200A0019">
      <w:start w:val="1"/>
      <w:numFmt w:val="lowerLetter"/>
      <w:lvlText w:val="%2."/>
      <w:lvlJc w:val="left"/>
      <w:pPr>
        <w:ind w:left="1440" w:hanging="360"/>
      </w:pPr>
    </w:lvl>
    <w:lvl w:ilvl="2" w:tplc="200A001B">
      <w:start w:val="1"/>
      <w:numFmt w:val="lowerRoman"/>
      <w:lvlText w:val="%3."/>
      <w:lvlJc w:val="right"/>
      <w:pPr>
        <w:ind w:left="2160" w:hanging="180"/>
      </w:pPr>
    </w:lvl>
    <w:lvl w:ilvl="3" w:tplc="200A000F">
      <w:start w:val="1"/>
      <w:numFmt w:val="decimal"/>
      <w:lvlText w:val="%4."/>
      <w:lvlJc w:val="left"/>
      <w:pPr>
        <w:ind w:left="2880" w:hanging="360"/>
      </w:pPr>
    </w:lvl>
    <w:lvl w:ilvl="4" w:tplc="200A0019">
      <w:start w:val="1"/>
      <w:numFmt w:val="lowerLetter"/>
      <w:lvlText w:val="%5."/>
      <w:lvlJc w:val="left"/>
      <w:pPr>
        <w:ind w:left="3600" w:hanging="360"/>
      </w:pPr>
    </w:lvl>
    <w:lvl w:ilvl="5" w:tplc="200A001B">
      <w:start w:val="1"/>
      <w:numFmt w:val="lowerRoman"/>
      <w:lvlText w:val="%6."/>
      <w:lvlJc w:val="right"/>
      <w:pPr>
        <w:ind w:left="4320" w:hanging="180"/>
      </w:pPr>
    </w:lvl>
    <w:lvl w:ilvl="6" w:tplc="200A000F">
      <w:start w:val="1"/>
      <w:numFmt w:val="decimal"/>
      <w:lvlText w:val="%7."/>
      <w:lvlJc w:val="left"/>
      <w:pPr>
        <w:ind w:left="5040" w:hanging="360"/>
      </w:pPr>
    </w:lvl>
    <w:lvl w:ilvl="7" w:tplc="200A0019">
      <w:start w:val="1"/>
      <w:numFmt w:val="lowerLetter"/>
      <w:lvlText w:val="%8."/>
      <w:lvlJc w:val="left"/>
      <w:pPr>
        <w:ind w:left="5760" w:hanging="360"/>
      </w:pPr>
    </w:lvl>
    <w:lvl w:ilvl="8" w:tplc="200A001B">
      <w:start w:val="1"/>
      <w:numFmt w:val="lowerRoman"/>
      <w:lvlText w:val="%9."/>
      <w:lvlJc w:val="right"/>
      <w:pPr>
        <w:ind w:left="6480" w:hanging="180"/>
      </w:pPr>
    </w:lvl>
  </w:abstractNum>
  <w:abstractNum w:abstractNumId="4" w15:restartNumberingAfterBreak="0">
    <w:nsid w:val="20FE7AB2"/>
    <w:multiLevelType w:val="hybridMultilevel"/>
    <w:tmpl w:val="97A28EB0"/>
    <w:lvl w:ilvl="0" w:tplc="F684B9B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26042892"/>
    <w:multiLevelType w:val="hybridMultilevel"/>
    <w:tmpl w:val="71FC3EDC"/>
    <w:lvl w:ilvl="0" w:tplc="00A895DC">
      <w:start w:val="1"/>
      <w:numFmt w:val="decimal"/>
      <w:lvlText w:val="%1."/>
      <w:lvlJc w:val="left"/>
      <w:pPr>
        <w:ind w:left="1070" w:hanging="71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6" w15:restartNumberingAfterBreak="0">
    <w:nsid w:val="268A320D"/>
    <w:multiLevelType w:val="hybridMultilevel"/>
    <w:tmpl w:val="234EDF90"/>
    <w:lvl w:ilvl="0" w:tplc="63A41440">
      <w:start w:val="1"/>
      <w:numFmt w:val="upperLetter"/>
      <w:lvlText w:val="%1-"/>
      <w:lvlJc w:val="left"/>
      <w:pPr>
        <w:ind w:left="720" w:hanging="360"/>
      </w:pPr>
      <w:rPr>
        <w:b/>
        <w:color w:val="auto"/>
      </w:rPr>
    </w:lvl>
    <w:lvl w:ilvl="1" w:tplc="200A0019">
      <w:start w:val="1"/>
      <w:numFmt w:val="lowerLetter"/>
      <w:lvlText w:val="%2."/>
      <w:lvlJc w:val="left"/>
      <w:pPr>
        <w:ind w:left="1440" w:hanging="360"/>
      </w:pPr>
    </w:lvl>
    <w:lvl w:ilvl="2" w:tplc="200A001B">
      <w:start w:val="1"/>
      <w:numFmt w:val="lowerRoman"/>
      <w:lvlText w:val="%3."/>
      <w:lvlJc w:val="right"/>
      <w:pPr>
        <w:ind w:left="2160" w:hanging="180"/>
      </w:pPr>
    </w:lvl>
    <w:lvl w:ilvl="3" w:tplc="200A000F">
      <w:start w:val="1"/>
      <w:numFmt w:val="decimal"/>
      <w:lvlText w:val="%4."/>
      <w:lvlJc w:val="left"/>
      <w:pPr>
        <w:ind w:left="2880" w:hanging="360"/>
      </w:pPr>
    </w:lvl>
    <w:lvl w:ilvl="4" w:tplc="200A0019">
      <w:start w:val="1"/>
      <w:numFmt w:val="lowerLetter"/>
      <w:lvlText w:val="%5."/>
      <w:lvlJc w:val="left"/>
      <w:pPr>
        <w:ind w:left="3600" w:hanging="360"/>
      </w:pPr>
    </w:lvl>
    <w:lvl w:ilvl="5" w:tplc="200A001B">
      <w:start w:val="1"/>
      <w:numFmt w:val="lowerRoman"/>
      <w:lvlText w:val="%6."/>
      <w:lvlJc w:val="right"/>
      <w:pPr>
        <w:ind w:left="4320" w:hanging="180"/>
      </w:pPr>
    </w:lvl>
    <w:lvl w:ilvl="6" w:tplc="200A000F">
      <w:start w:val="1"/>
      <w:numFmt w:val="decimal"/>
      <w:lvlText w:val="%7."/>
      <w:lvlJc w:val="left"/>
      <w:pPr>
        <w:ind w:left="5040" w:hanging="360"/>
      </w:pPr>
    </w:lvl>
    <w:lvl w:ilvl="7" w:tplc="200A0019">
      <w:start w:val="1"/>
      <w:numFmt w:val="lowerLetter"/>
      <w:lvlText w:val="%8."/>
      <w:lvlJc w:val="left"/>
      <w:pPr>
        <w:ind w:left="5760" w:hanging="360"/>
      </w:pPr>
    </w:lvl>
    <w:lvl w:ilvl="8" w:tplc="200A001B">
      <w:start w:val="1"/>
      <w:numFmt w:val="lowerRoman"/>
      <w:lvlText w:val="%9."/>
      <w:lvlJc w:val="right"/>
      <w:pPr>
        <w:ind w:left="6480" w:hanging="180"/>
      </w:pPr>
    </w:lvl>
  </w:abstractNum>
  <w:abstractNum w:abstractNumId="7" w15:restartNumberingAfterBreak="0">
    <w:nsid w:val="28D666CF"/>
    <w:multiLevelType w:val="hybridMultilevel"/>
    <w:tmpl w:val="BCF6CA00"/>
    <w:lvl w:ilvl="0" w:tplc="F684B9B6">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8" w15:restartNumberingAfterBreak="0">
    <w:nsid w:val="2B355DF8"/>
    <w:multiLevelType w:val="hybridMultilevel"/>
    <w:tmpl w:val="347E4176"/>
    <w:lvl w:ilvl="0" w:tplc="F684B9B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9" w15:restartNumberingAfterBreak="0">
    <w:nsid w:val="2FED544A"/>
    <w:multiLevelType w:val="hybridMultilevel"/>
    <w:tmpl w:val="C52A4E32"/>
    <w:lvl w:ilvl="0" w:tplc="F684B9B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F684B9B6">
      <w:start w:val="1"/>
      <w:numFmt w:val="bullet"/>
      <w:lvlText w:val=""/>
      <w:lvlJc w:val="left"/>
      <w:pPr>
        <w:ind w:left="2160" w:hanging="360"/>
      </w:pPr>
      <w:rPr>
        <w:rFonts w:ascii="Symbol" w:hAnsi="Symbol"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 w15:restartNumberingAfterBreak="0">
    <w:nsid w:val="31CC1D7B"/>
    <w:multiLevelType w:val="hybridMultilevel"/>
    <w:tmpl w:val="C12E78D6"/>
    <w:lvl w:ilvl="0" w:tplc="3A24C02A">
      <w:start w:val="1"/>
      <w:numFmt w:val="upperLetter"/>
      <w:lvlText w:val="%1-"/>
      <w:lvlJc w:val="left"/>
      <w:pPr>
        <w:ind w:left="786" w:hanging="360"/>
      </w:pPr>
      <w:rPr>
        <w:rFonts w:ascii="Times New Roman" w:hAnsi="Times New Roman" w:cs="Times New Roman" w:hint="default"/>
        <w:b/>
      </w:rPr>
    </w:lvl>
    <w:lvl w:ilvl="1" w:tplc="200A0019">
      <w:start w:val="1"/>
      <w:numFmt w:val="lowerLetter"/>
      <w:lvlText w:val="%2."/>
      <w:lvlJc w:val="left"/>
      <w:pPr>
        <w:ind w:left="1440" w:hanging="360"/>
      </w:pPr>
    </w:lvl>
    <w:lvl w:ilvl="2" w:tplc="200A001B">
      <w:start w:val="1"/>
      <w:numFmt w:val="lowerRoman"/>
      <w:lvlText w:val="%3."/>
      <w:lvlJc w:val="right"/>
      <w:pPr>
        <w:ind w:left="2160" w:hanging="180"/>
      </w:pPr>
    </w:lvl>
    <w:lvl w:ilvl="3" w:tplc="200A000F">
      <w:start w:val="1"/>
      <w:numFmt w:val="decimal"/>
      <w:lvlText w:val="%4."/>
      <w:lvlJc w:val="left"/>
      <w:pPr>
        <w:ind w:left="2880" w:hanging="360"/>
      </w:pPr>
    </w:lvl>
    <w:lvl w:ilvl="4" w:tplc="200A0019">
      <w:start w:val="1"/>
      <w:numFmt w:val="lowerLetter"/>
      <w:lvlText w:val="%5."/>
      <w:lvlJc w:val="left"/>
      <w:pPr>
        <w:ind w:left="3600" w:hanging="360"/>
      </w:pPr>
    </w:lvl>
    <w:lvl w:ilvl="5" w:tplc="200A001B">
      <w:start w:val="1"/>
      <w:numFmt w:val="lowerRoman"/>
      <w:lvlText w:val="%6."/>
      <w:lvlJc w:val="right"/>
      <w:pPr>
        <w:ind w:left="4320" w:hanging="180"/>
      </w:pPr>
    </w:lvl>
    <w:lvl w:ilvl="6" w:tplc="200A000F">
      <w:start w:val="1"/>
      <w:numFmt w:val="decimal"/>
      <w:lvlText w:val="%7."/>
      <w:lvlJc w:val="left"/>
      <w:pPr>
        <w:ind w:left="5040" w:hanging="360"/>
      </w:pPr>
    </w:lvl>
    <w:lvl w:ilvl="7" w:tplc="200A0019">
      <w:start w:val="1"/>
      <w:numFmt w:val="lowerLetter"/>
      <w:lvlText w:val="%8."/>
      <w:lvlJc w:val="left"/>
      <w:pPr>
        <w:ind w:left="5760" w:hanging="360"/>
      </w:pPr>
    </w:lvl>
    <w:lvl w:ilvl="8" w:tplc="200A001B">
      <w:start w:val="1"/>
      <w:numFmt w:val="lowerRoman"/>
      <w:lvlText w:val="%9."/>
      <w:lvlJc w:val="right"/>
      <w:pPr>
        <w:ind w:left="6480" w:hanging="180"/>
      </w:pPr>
    </w:lvl>
  </w:abstractNum>
  <w:abstractNum w:abstractNumId="11" w15:restartNumberingAfterBreak="0">
    <w:nsid w:val="33F32DF9"/>
    <w:multiLevelType w:val="hybridMultilevel"/>
    <w:tmpl w:val="D1789A3A"/>
    <w:lvl w:ilvl="0" w:tplc="F684B9B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2" w15:restartNumberingAfterBreak="0">
    <w:nsid w:val="33F747DF"/>
    <w:multiLevelType w:val="hybridMultilevel"/>
    <w:tmpl w:val="00DA222E"/>
    <w:lvl w:ilvl="0" w:tplc="F684B9B6">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3" w15:restartNumberingAfterBreak="0">
    <w:nsid w:val="3935695F"/>
    <w:multiLevelType w:val="hybridMultilevel"/>
    <w:tmpl w:val="455C3F9E"/>
    <w:lvl w:ilvl="0" w:tplc="F684B9B6">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4" w15:restartNumberingAfterBreak="0">
    <w:nsid w:val="3B6E1ED7"/>
    <w:multiLevelType w:val="hybridMultilevel"/>
    <w:tmpl w:val="B4BADEBE"/>
    <w:lvl w:ilvl="0" w:tplc="F684B9B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5" w15:restartNumberingAfterBreak="0">
    <w:nsid w:val="41E47DC4"/>
    <w:multiLevelType w:val="hybridMultilevel"/>
    <w:tmpl w:val="1E642A78"/>
    <w:lvl w:ilvl="0" w:tplc="200A000F">
      <w:start w:val="1"/>
      <w:numFmt w:val="decimal"/>
      <w:lvlText w:val="%1."/>
      <w:lvlJc w:val="left"/>
      <w:pPr>
        <w:ind w:left="720" w:hanging="360"/>
      </w:pPr>
    </w:lvl>
    <w:lvl w:ilvl="1" w:tplc="F684B9B6">
      <w:start w:val="1"/>
      <w:numFmt w:val="bullet"/>
      <w:lvlText w:val=""/>
      <w:lvlJc w:val="left"/>
      <w:pPr>
        <w:ind w:left="1440" w:hanging="360"/>
      </w:pPr>
      <w:rPr>
        <w:rFonts w:ascii="Symbol" w:hAnsi="Symbol" w:hint="default"/>
      </w:r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6" w15:restartNumberingAfterBreak="0">
    <w:nsid w:val="4578449F"/>
    <w:multiLevelType w:val="hybridMultilevel"/>
    <w:tmpl w:val="7108D24C"/>
    <w:lvl w:ilvl="0" w:tplc="F684B9B6">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17" w15:restartNumberingAfterBreak="0">
    <w:nsid w:val="4873307A"/>
    <w:multiLevelType w:val="hybridMultilevel"/>
    <w:tmpl w:val="E4007076"/>
    <w:lvl w:ilvl="0" w:tplc="200A000F">
      <w:start w:val="1"/>
      <w:numFmt w:val="decimal"/>
      <w:lvlText w:val="%1."/>
      <w:lvlJc w:val="left"/>
      <w:pPr>
        <w:ind w:left="720" w:hanging="360"/>
      </w:pPr>
    </w:lvl>
    <w:lvl w:ilvl="1" w:tplc="F684B9B6">
      <w:start w:val="1"/>
      <w:numFmt w:val="bullet"/>
      <w:lvlText w:val=""/>
      <w:lvlJc w:val="left"/>
      <w:pPr>
        <w:ind w:left="1440" w:hanging="360"/>
      </w:pPr>
      <w:rPr>
        <w:rFonts w:ascii="Symbol" w:hAnsi="Symbol" w:hint="default"/>
      </w:r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8" w15:restartNumberingAfterBreak="0">
    <w:nsid w:val="4CC55FCB"/>
    <w:multiLevelType w:val="hybridMultilevel"/>
    <w:tmpl w:val="A9A005B8"/>
    <w:lvl w:ilvl="0" w:tplc="F684B9B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9" w15:restartNumberingAfterBreak="0">
    <w:nsid w:val="4FB636CD"/>
    <w:multiLevelType w:val="hybridMultilevel"/>
    <w:tmpl w:val="4ADADE5C"/>
    <w:lvl w:ilvl="0" w:tplc="1B90EB22">
      <w:start w:val="1"/>
      <w:numFmt w:val="decimal"/>
      <w:lvlText w:val="%1."/>
      <w:lvlJc w:val="left"/>
      <w:pPr>
        <w:ind w:left="1602" w:hanging="1035"/>
      </w:pPr>
    </w:lvl>
    <w:lvl w:ilvl="1" w:tplc="200A0019">
      <w:start w:val="1"/>
      <w:numFmt w:val="lowerLetter"/>
      <w:lvlText w:val="%2."/>
      <w:lvlJc w:val="left"/>
      <w:pPr>
        <w:ind w:left="1647" w:hanging="360"/>
      </w:pPr>
    </w:lvl>
    <w:lvl w:ilvl="2" w:tplc="200A001B">
      <w:start w:val="1"/>
      <w:numFmt w:val="lowerRoman"/>
      <w:lvlText w:val="%3."/>
      <w:lvlJc w:val="right"/>
      <w:pPr>
        <w:ind w:left="2367" w:hanging="180"/>
      </w:pPr>
    </w:lvl>
    <w:lvl w:ilvl="3" w:tplc="200A000F">
      <w:start w:val="1"/>
      <w:numFmt w:val="decimal"/>
      <w:lvlText w:val="%4."/>
      <w:lvlJc w:val="left"/>
      <w:pPr>
        <w:ind w:left="3087" w:hanging="360"/>
      </w:pPr>
    </w:lvl>
    <w:lvl w:ilvl="4" w:tplc="200A0019">
      <w:start w:val="1"/>
      <w:numFmt w:val="lowerLetter"/>
      <w:lvlText w:val="%5."/>
      <w:lvlJc w:val="left"/>
      <w:pPr>
        <w:ind w:left="3807" w:hanging="360"/>
      </w:pPr>
    </w:lvl>
    <w:lvl w:ilvl="5" w:tplc="200A001B">
      <w:start w:val="1"/>
      <w:numFmt w:val="lowerRoman"/>
      <w:lvlText w:val="%6."/>
      <w:lvlJc w:val="right"/>
      <w:pPr>
        <w:ind w:left="4527" w:hanging="180"/>
      </w:pPr>
    </w:lvl>
    <w:lvl w:ilvl="6" w:tplc="200A000F">
      <w:start w:val="1"/>
      <w:numFmt w:val="decimal"/>
      <w:lvlText w:val="%7."/>
      <w:lvlJc w:val="left"/>
      <w:pPr>
        <w:ind w:left="5247" w:hanging="360"/>
      </w:pPr>
    </w:lvl>
    <w:lvl w:ilvl="7" w:tplc="200A0019">
      <w:start w:val="1"/>
      <w:numFmt w:val="lowerLetter"/>
      <w:lvlText w:val="%8."/>
      <w:lvlJc w:val="left"/>
      <w:pPr>
        <w:ind w:left="5967" w:hanging="360"/>
      </w:pPr>
    </w:lvl>
    <w:lvl w:ilvl="8" w:tplc="200A001B">
      <w:start w:val="1"/>
      <w:numFmt w:val="lowerRoman"/>
      <w:lvlText w:val="%9."/>
      <w:lvlJc w:val="right"/>
      <w:pPr>
        <w:ind w:left="6687" w:hanging="180"/>
      </w:pPr>
    </w:lvl>
  </w:abstractNum>
  <w:abstractNum w:abstractNumId="20" w15:restartNumberingAfterBreak="0">
    <w:nsid w:val="51AC6B6D"/>
    <w:multiLevelType w:val="hybridMultilevel"/>
    <w:tmpl w:val="E5907D80"/>
    <w:lvl w:ilvl="0" w:tplc="F684B9B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1" w15:restartNumberingAfterBreak="0">
    <w:nsid w:val="574C45DF"/>
    <w:multiLevelType w:val="hybridMultilevel"/>
    <w:tmpl w:val="61D0E28E"/>
    <w:lvl w:ilvl="0" w:tplc="F684B9B6">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2" w15:restartNumberingAfterBreak="0">
    <w:nsid w:val="57B176AA"/>
    <w:multiLevelType w:val="hybridMultilevel"/>
    <w:tmpl w:val="457E82DC"/>
    <w:lvl w:ilvl="0" w:tplc="580A0017">
      <w:start w:val="1"/>
      <w:numFmt w:val="lowerLetter"/>
      <w:lvlText w:val="%1)"/>
      <w:lvlJc w:val="left"/>
      <w:pPr>
        <w:ind w:left="3447" w:hanging="360"/>
      </w:pPr>
    </w:lvl>
    <w:lvl w:ilvl="1" w:tplc="580A0019" w:tentative="1">
      <w:start w:val="1"/>
      <w:numFmt w:val="lowerLetter"/>
      <w:lvlText w:val="%2."/>
      <w:lvlJc w:val="left"/>
      <w:pPr>
        <w:ind w:left="4167" w:hanging="360"/>
      </w:pPr>
    </w:lvl>
    <w:lvl w:ilvl="2" w:tplc="580A001B" w:tentative="1">
      <w:start w:val="1"/>
      <w:numFmt w:val="lowerRoman"/>
      <w:lvlText w:val="%3."/>
      <w:lvlJc w:val="right"/>
      <w:pPr>
        <w:ind w:left="4887" w:hanging="180"/>
      </w:pPr>
    </w:lvl>
    <w:lvl w:ilvl="3" w:tplc="580A000F" w:tentative="1">
      <w:start w:val="1"/>
      <w:numFmt w:val="decimal"/>
      <w:lvlText w:val="%4."/>
      <w:lvlJc w:val="left"/>
      <w:pPr>
        <w:ind w:left="5607" w:hanging="360"/>
      </w:pPr>
    </w:lvl>
    <w:lvl w:ilvl="4" w:tplc="580A0019" w:tentative="1">
      <w:start w:val="1"/>
      <w:numFmt w:val="lowerLetter"/>
      <w:lvlText w:val="%5."/>
      <w:lvlJc w:val="left"/>
      <w:pPr>
        <w:ind w:left="6327" w:hanging="360"/>
      </w:pPr>
    </w:lvl>
    <w:lvl w:ilvl="5" w:tplc="580A001B" w:tentative="1">
      <w:start w:val="1"/>
      <w:numFmt w:val="lowerRoman"/>
      <w:lvlText w:val="%6."/>
      <w:lvlJc w:val="right"/>
      <w:pPr>
        <w:ind w:left="7047" w:hanging="180"/>
      </w:pPr>
    </w:lvl>
    <w:lvl w:ilvl="6" w:tplc="580A000F" w:tentative="1">
      <w:start w:val="1"/>
      <w:numFmt w:val="decimal"/>
      <w:lvlText w:val="%7."/>
      <w:lvlJc w:val="left"/>
      <w:pPr>
        <w:ind w:left="7767" w:hanging="360"/>
      </w:pPr>
    </w:lvl>
    <w:lvl w:ilvl="7" w:tplc="580A0019" w:tentative="1">
      <w:start w:val="1"/>
      <w:numFmt w:val="lowerLetter"/>
      <w:lvlText w:val="%8."/>
      <w:lvlJc w:val="left"/>
      <w:pPr>
        <w:ind w:left="8487" w:hanging="360"/>
      </w:pPr>
    </w:lvl>
    <w:lvl w:ilvl="8" w:tplc="580A001B" w:tentative="1">
      <w:start w:val="1"/>
      <w:numFmt w:val="lowerRoman"/>
      <w:lvlText w:val="%9."/>
      <w:lvlJc w:val="right"/>
      <w:pPr>
        <w:ind w:left="9207" w:hanging="180"/>
      </w:pPr>
    </w:lvl>
  </w:abstractNum>
  <w:abstractNum w:abstractNumId="23" w15:restartNumberingAfterBreak="0">
    <w:nsid w:val="59CC404D"/>
    <w:multiLevelType w:val="hybridMultilevel"/>
    <w:tmpl w:val="FDC8A308"/>
    <w:lvl w:ilvl="0" w:tplc="200A000F">
      <w:start w:val="1"/>
      <w:numFmt w:val="decimal"/>
      <w:lvlText w:val="%1."/>
      <w:lvlJc w:val="left"/>
      <w:pPr>
        <w:ind w:left="1004" w:hanging="360"/>
      </w:pPr>
    </w:lvl>
    <w:lvl w:ilvl="1" w:tplc="200A0019" w:tentative="1">
      <w:start w:val="1"/>
      <w:numFmt w:val="lowerLetter"/>
      <w:lvlText w:val="%2."/>
      <w:lvlJc w:val="left"/>
      <w:pPr>
        <w:ind w:left="1724" w:hanging="360"/>
      </w:pPr>
    </w:lvl>
    <w:lvl w:ilvl="2" w:tplc="200A001B" w:tentative="1">
      <w:start w:val="1"/>
      <w:numFmt w:val="lowerRoman"/>
      <w:lvlText w:val="%3."/>
      <w:lvlJc w:val="right"/>
      <w:pPr>
        <w:ind w:left="2444" w:hanging="180"/>
      </w:pPr>
    </w:lvl>
    <w:lvl w:ilvl="3" w:tplc="200A000F" w:tentative="1">
      <w:start w:val="1"/>
      <w:numFmt w:val="decimal"/>
      <w:lvlText w:val="%4."/>
      <w:lvlJc w:val="left"/>
      <w:pPr>
        <w:ind w:left="3164" w:hanging="360"/>
      </w:pPr>
    </w:lvl>
    <w:lvl w:ilvl="4" w:tplc="200A0019" w:tentative="1">
      <w:start w:val="1"/>
      <w:numFmt w:val="lowerLetter"/>
      <w:lvlText w:val="%5."/>
      <w:lvlJc w:val="left"/>
      <w:pPr>
        <w:ind w:left="3884" w:hanging="360"/>
      </w:pPr>
    </w:lvl>
    <w:lvl w:ilvl="5" w:tplc="200A001B" w:tentative="1">
      <w:start w:val="1"/>
      <w:numFmt w:val="lowerRoman"/>
      <w:lvlText w:val="%6."/>
      <w:lvlJc w:val="right"/>
      <w:pPr>
        <w:ind w:left="4604" w:hanging="180"/>
      </w:pPr>
    </w:lvl>
    <w:lvl w:ilvl="6" w:tplc="200A000F" w:tentative="1">
      <w:start w:val="1"/>
      <w:numFmt w:val="decimal"/>
      <w:lvlText w:val="%7."/>
      <w:lvlJc w:val="left"/>
      <w:pPr>
        <w:ind w:left="5324" w:hanging="360"/>
      </w:pPr>
    </w:lvl>
    <w:lvl w:ilvl="7" w:tplc="200A0019" w:tentative="1">
      <w:start w:val="1"/>
      <w:numFmt w:val="lowerLetter"/>
      <w:lvlText w:val="%8."/>
      <w:lvlJc w:val="left"/>
      <w:pPr>
        <w:ind w:left="6044" w:hanging="360"/>
      </w:pPr>
    </w:lvl>
    <w:lvl w:ilvl="8" w:tplc="200A001B" w:tentative="1">
      <w:start w:val="1"/>
      <w:numFmt w:val="lowerRoman"/>
      <w:lvlText w:val="%9."/>
      <w:lvlJc w:val="right"/>
      <w:pPr>
        <w:ind w:left="6764" w:hanging="180"/>
      </w:pPr>
    </w:lvl>
  </w:abstractNum>
  <w:abstractNum w:abstractNumId="24" w15:restartNumberingAfterBreak="0">
    <w:nsid w:val="5B40623E"/>
    <w:multiLevelType w:val="hybridMultilevel"/>
    <w:tmpl w:val="6180F496"/>
    <w:lvl w:ilvl="0" w:tplc="F684B9B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F684B9B6">
      <w:start w:val="1"/>
      <w:numFmt w:val="bullet"/>
      <w:lvlText w:val=""/>
      <w:lvlJc w:val="left"/>
      <w:pPr>
        <w:ind w:left="2160" w:hanging="360"/>
      </w:pPr>
      <w:rPr>
        <w:rFonts w:ascii="Symbol" w:hAnsi="Symbol"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5" w15:restartNumberingAfterBreak="0">
    <w:nsid w:val="5C6A20B8"/>
    <w:multiLevelType w:val="hybridMultilevel"/>
    <w:tmpl w:val="389C4166"/>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6" w15:restartNumberingAfterBreak="0">
    <w:nsid w:val="6B502D24"/>
    <w:multiLevelType w:val="multilevel"/>
    <w:tmpl w:val="DC763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C5A062D"/>
    <w:multiLevelType w:val="hybridMultilevel"/>
    <w:tmpl w:val="1E62EB60"/>
    <w:lvl w:ilvl="0" w:tplc="F684B9B6">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28" w15:restartNumberingAfterBreak="0">
    <w:nsid w:val="6E3068B6"/>
    <w:multiLevelType w:val="hybridMultilevel"/>
    <w:tmpl w:val="A87AEE10"/>
    <w:lvl w:ilvl="0" w:tplc="F684B9B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9" w15:restartNumberingAfterBreak="0">
    <w:nsid w:val="72DF1D51"/>
    <w:multiLevelType w:val="hybridMultilevel"/>
    <w:tmpl w:val="D22C73C6"/>
    <w:lvl w:ilvl="0" w:tplc="F684B9B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0" w15:restartNumberingAfterBreak="0">
    <w:nsid w:val="72FE45ED"/>
    <w:multiLevelType w:val="hybridMultilevel"/>
    <w:tmpl w:val="BFCEC9DE"/>
    <w:lvl w:ilvl="0" w:tplc="00A895DC">
      <w:start w:val="1"/>
      <w:numFmt w:val="decimal"/>
      <w:lvlText w:val="%1."/>
      <w:lvlJc w:val="left"/>
      <w:pPr>
        <w:ind w:left="1070" w:hanging="71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1" w15:restartNumberingAfterBreak="0">
    <w:nsid w:val="73D16064"/>
    <w:multiLevelType w:val="hybridMultilevel"/>
    <w:tmpl w:val="70527D1A"/>
    <w:lvl w:ilvl="0" w:tplc="F684B9B6">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2" w15:restartNumberingAfterBreak="0">
    <w:nsid w:val="75964392"/>
    <w:multiLevelType w:val="hybridMultilevel"/>
    <w:tmpl w:val="FD4AA78A"/>
    <w:lvl w:ilvl="0" w:tplc="F684B9B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3" w15:restartNumberingAfterBreak="0">
    <w:nsid w:val="77170059"/>
    <w:multiLevelType w:val="hybridMultilevel"/>
    <w:tmpl w:val="67B8536C"/>
    <w:lvl w:ilvl="0" w:tplc="1B90EB22">
      <w:start w:val="1"/>
      <w:numFmt w:val="decimal"/>
      <w:lvlText w:val="%1."/>
      <w:lvlJc w:val="left"/>
      <w:pPr>
        <w:ind w:left="2169" w:hanging="1035"/>
      </w:pPr>
    </w:lvl>
    <w:lvl w:ilvl="1" w:tplc="200A0019">
      <w:start w:val="1"/>
      <w:numFmt w:val="lowerLetter"/>
      <w:lvlText w:val="%2."/>
      <w:lvlJc w:val="left"/>
      <w:pPr>
        <w:ind w:left="2007" w:hanging="360"/>
      </w:pPr>
    </w:lvl>
    <w:lvl w:ilvl="2" w:tplc="200A001B">
      <w:start w:val="1"/>
      <w:numFmt w:val="lowerRoman"/>
      <w:lvlText w:val="%3."/>
      <w:lvlJc w:val="right"/>
      <w:pPr>
        <w:ind w:left="2727" w:hanging="180"/>
      </w:pPr>
    </w:lvl>
    <w:lvl w:ilvl="3" w:tplc="200A000F">
      <w:start w:val="1"/>
      <w:numFmt w:val="decimal"/>
      <w:lvlText w:val="%4."/>
      <w:lvlJc w:val="left"/>
      <w:pPr>
        <w:ind w:left="3447" w:hanging="360"/>
      </w:pPr>
    </w:lvl>
    <w:lvl w:ilvl="4" w:tplc="200A0019">
      <w:start w:val="1"/>
      <w:numFmt w:val="lowerLetter"/>
      <w:lvlText w:val="%5."/>
      <w:lvlJc w:val="left"/>
      <w:pPr>
        <w:ind w:left="4167" w:hanging="360"/>
      </w:pPr>
    </w:lvl>
    <w:lvl w:ilvl="5" w:tplc="200A001B">
      <w:start w:val="1"/>
      <w:numFmt w:val="lowerRoman"/>
      <w:lvlText w:val="%6."/>
      <w:lvlJc w:val="right"/>
      <w:pPr>
        <w:ind w:left="4887" w:hanging="180"/>
      </w:pPr>
    </w:lvl>
    <w:lvl w:ilvl="6" w:tplc="200A000F">
      <w:start w:val="1"/>
      <w:numFmt w:val="decimal"/>
      <w:lvlText w:val="%7."/>
      <w:lvlJc w:val="left"/>
      <w:pPr>
        <w:ind w:left="5607" w:hanging="360"/>
      </w:pPr>
    </w:lvl>
    <w:lvl w:ilvl="7" w:tplc="200A0019">
      <w:start w:val="1"/>
      <w:numFmt w:val="lowerLetter"/>
      <w:lvlText w:val="%8."/>
      <w:lvlJc w:val="left"/>
      <w:pPr>
        <w:ind w:left="6327" w:hanging="360"/>
      </w:pPr>
    </w:lvl>
    <w:lvl w:ilvl="8" w:tplc="200A001B">
      <w:start w:val="1"/>
      <w:numFmt w:val="lowerRoman"/>
      <w:lvlText w:val="%9."/>
      <w:lvlJc w:val="right"/>
      <w:pPr>
        <w:ind w:left="7047" w:hanging="180"/>
      </w:pPr>
    </w:lvl>
  </w:abstractNum>
  <w:abstractNum w:abstractNumId="34" w15:restartNumberingAfterBreak="0">
    <w:nsid w:val="78C038B3"/>
    <w:multiLevelType w:val="hybridMultilevel"/>
    <w:tmpl w:val="71C02B76"/>
    <w:lvl w:ilvl="0" w:tplc="F684B9B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5"/>
  </w:num>
  <w:num w:numId="5">
    <w:abstractNumId w:val="29"/>
  </w:num>
  <w:num w:numId="6">
    <w:abstractNumId w:val="23"/>
  </w:num>
  <w:num w:numId="7">
    <w:abstractNumId w:val="1"/>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14"/>
  </w:num>
  <w:num w:numId="14">
    <w:abstractNumId w:val="34"/>
  </w:num>
  <w:num w:numId="15">
    <w:abstractNumId w:val="32"/>
  </w:num>
  <w:num w:numId="16">
    <w:abstractNumId w:val="28"/>
  </w:num>
  <w:num w:numId="17">
    <w:abstractNumId w:val="20"/>
  </w:num>
  <w:num w:numId="18">
    <w:abstractNumId w:val="13"/>
  </w:num>
  <w:num w:numId="19">
    <w:abstractNumId w:val="17"/>
  </w:num>
  <w:num w:numId="20">
    <w:abstractNumId w:val="15"/>
  </w:num>
  <w:num w:numId="21">
    <w:abstractNumId w:val="24"/>
  </w:num>
  <w:num w:numId="22">
    <w:abstractNumId w:val="9"/>
  </w:num>
  <w:num w:numId="23">
    <w:abstractNumId w:val="4"/>
  </w:num>
  <w:num w:numId="24">
    <w:abstractNumId w:val="31"/>
  </w:num>
  <w:num w:numId="25">
    <w:abstractNumId w:val="30"/>
  </w:num>
  <w:num w:numId="26">
    <w:abstractNumId w:val="12"/>
  </w:num>
  <w:num w:numId="27">
    <w:abstractNumId w:val="11"/>
  </w:num>
  <w:num w:numId="28">
    <w:abstractNumId w:val="7"/>
  </w:num>
  <w:num w:numId="29">
    <w:abstractNumId w:val="21"/>
  </w:num>
  <w:num w:numId="30">
    <w:abstractNumId w:val="16"/>
  </w:num>
  <w:num w:numId="31">
    <w:abstractNumId w:val="27"/>
  </w:num>
  <w:num w:numId="32">
    <w:abstractNumId w:val="8"/>
  </w:num>
  <w:num w:numId="33">
    <w:abstractNumId w:val="0"/>
  </w:num>
  <w:num w:numId="34">
    <w:abstractNumId w:val="18"/>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E7F"/>
    <w:rsid w:val="00027A78"/>
    <w:rsid w:val="0006227E"/>
    <w:rsid w:val="00063C65"/>
    <w:rsid w:val="00077DF6"/>
    <w:rsid w:val="000A1408"/>
    <w:rsid w:val="000F2ED6"/>
    <w:rsid w:val="001209CC"/>
    <w:rsid w:val="00125FF1"/>
    <w:rsid w:val="0012730A"/>
    <w:rsid w:val="001450A2"/>
    <w:rsid w:val="001518C6"/>
    <w:rsid w:val="00182CBD"/>
    <w:rsid w:val="001A453A"/>
    <w:rsid w:val="001B5BAD"/>
    <w:rsid w:val="001E77F2"/>
    <w:rsid w:val="00204B15"/>
    <w:rsid w:val="00205E3C"/>
    <w:rsid w:val="002B7515"/>
    <w:rsid w:val="003536B9"/>
    <w:rsid w:val="003814EC"/>
    <w:rsid w:val="003818BD"/>
    <w:rsid w:val="00381D49"/>
    <w:rsid w:val="003C4141"/>
    <w:rsid w:val="004311A7"/>
    <w:rsid w:val="0043716D"/>
    <w:rsid w:val="00470E2C"/>
    <w:rsid w:val="004B000E"/>
    <w:rsid w:val="004B01A4"/>
    <w:rsid w:val="004E43E1"/>
    <w:rsid w:val="004F34DE"/>
    <w:rsid w:val="0050630C"/>
    <w:rsid w:val="00510153"/>
    <w:rsid w:val="005203DD"/>
    <w:rsid w:val="0059409E"/>
    <w:rsid w:val="005A0E67"/>
    <w:rsid w:val="005A5AC2"/>
    <w:rsid w:val="005A7845"/>
    <w:rsid w:val="005B3AA0"/>
    <w:rsid w:val="005E4E7A"/>
    <w:rsid w:val="005F1995"/>
    <w:rsid w:val="006C476A"/>
    <w:rsid w:val="006D20F9"/>
    <w:rsid w:val="007023CA"/>
    <w:rsid w:val="00711AE6"/>
    <w:rsid w:val="00713452"/>
    <w:rsid w:val="00714D8A"/>
    <w:rsid w:val="0074288F"/>
    <w:rsid w:val="0074788E"/>
    <w:rsid w:val="00750FD8"/>
    <w:rsid w:val="007818C9"/>
    <w:rsid w:val="007A1AE1"/>
    <w:rsid w:val="007F38AE"/>
    <w:rsid w:val="00806493"/>
    <w:rsid w:val="00807C1A"/>
    <w:rsid w:val="00876DCE"/>
    <w:rsid w:val="0088363F"/>
    <w:rsid w:val="008C3226"/>
    <w:rsid w:val="008D6F5F"/>
    <w:rsid w:val="00911847"/>
    <w:rsid w:val="00925126"/>
    <w:rsid w:val="00940536"/>
    <w:rsid w:val="00957C2B"/>
    <w:rsid w:val="009968C8"/>
    <w:rsid w:val="009B6FA2"/>
    <w:rsid w:val="009B791A"/>
    <w:rsid w:val="00A358C7"/>
    <w:rsid w:val="00A37DE4"/>
    <w:rsid w:val="00A52E7F"/>
    <w:rsid w:val="00A54D17"/>
    <w:rsid w:val="00A7255A"/>
    <w:rsid w:val="00A949D3"/>
    <w:rsid w:val="00A94FD7"/>
    <w:rsid w:val="00AA5CEB"/>
    <w:rsid w:val="00AD15BA"/>
    <w:rsid w:val="00AF1F17"/>
    <w:rsid w:val="00B05898"/>
    <w:rsid w:val="00B1014A"/>
    <w:rsid w:val="00B30E95"/>
    <w:rsid w:val="00B75688"/>
    <w:rsid w:val="00B77623"/>
    <w:rsid w:val="00BF569A"/>
    <w:rsid w:val="00C240CD"/>
    <w:rsid w:val="00C463A3"/>
    <w:rsid w:val="00C6315E"/>
    <w:rsid w:val="00C67094"/>
    <w:rsid w:val="00C80D42"/>
    <w:rsid w:val="00CF7D89"/>
    <w:rsid w:val="00D330F0"/>
    <w:rsid w:val="00D53EA4"/>
    <w:rsid w:val="00D60157"/>
    <w:rsid w:val="00D8388C"/>
    <w:rsid w:val="00D869FF"/>
    <w:rsid w:val="00D92BEE"/>
    <w:rsid w:val="00DD05DA"/>
    <w:rsid w:val="00E24B85"/>
    <w:rsid w:val="00E62DAD"/>
    <w:rsid w:val="00E63172"/>
    <w:rsid w:val="00E7369B"/>
    <w:rsid w:val="00E95ED2"/>
    <w:rsid w:val="00EA2E6A"/>
    <w:rsid w:val="00EB560D"/>
    <w:rsid w:val="00EC416F"/>
    <w:rsid w:val="00ED752E"/>
    <w:rsid w:val="00EE1544"/>
    <w:rsid w:val="00EF213F"/>
    <w:rsid w:val="00EF48C8"/>
    <w:rsid w:val="00F14685"/>
    <w:rsid w:val="00F26028"/>
    <w:rsid w:val="00F7551A"/>
    <w:rsid w:val="00F83341"/>
    <w:rsid w:val="00FC74C5"/>
    <w:rsid w:val="00FD2B4D"/>
    <w:rsid w:val="00FE6DBA"/>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E94CF2C-4249-470E-B19B-5EF4A923D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419"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88363F"/>
    <w:pPr>
      <w:keepNext/>
      <w:keepLines/>
      <w:spacing w:before="240" w:after="0" w:line="240" w:lineRule="auto"/>
      <w:jc w:val="center"/>
      <w:outlineLvl w:val="0"/>
    </w:pPr>
    <w:rPr>
      <w:rFonts w:ascii="Times New Roman" w:eastAsiaTheme="majorEastAsia" w:hAnsi="Times New Roman" w:cstheme="majorBidi"/>
      <w:b/>
      <w:color w:val="C45911" w:themeColor="accent2" w:themeShade="BF"/>
      <w:kern w:val="0"/>
      <w:sz w:val="28"/>
      <w:szCs w:val="32"/>
      <w:lang w:val="es-ES"/>
      <w14:ligatures w14:val="none"/>
    </w:rPr>
  </w:style>
  <w:style w:type="paragraph" w:styleId="Ttulo2">
    <w:name w:val="heading 2"/>
    <w:basedOn w:val="Normal"/>
    <w:next w:val="Normal"/>
    <w:link w:val="Ttulo2Car"/>
    <w:uiPriority w:val="9"/>
    <w:unhideWhenUsed/>
    <w:qFormat/>
    <w:rsid w:val="000A140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1518C6"/>
    <w:pPr>
      <w:keepNext/>
      <w:keepLines/>
      <w:spacing w:before="40" w:after="0" w:line="360" w:lineRule="auto"/>
      <w:ind w:firstLine="567"/>
      <w:jc w:val="both"/>
      <w:outlineLvl w:val="2"/>
    </w:pPr>
    <w:rPr>
      <w:rFonts w:asciiTheme="majorHAnsi" w:eastAsiaTheme="majorEastAsia" w:hAnsiTheme="majorHAnsi" w:cstheme="majorBidi"/>
      <w:color w:val="1F3763" w:themeColor="accent1" w:themeShade="7F"/>
      <w:kern w:val="0"/>
      <w:lang w:val="es-VE" w:eastAsia="ar-SA"/>
      <w14:ligatures w14:val="none"/>
    </w:rPr>
  </w:style>
  <w:style w:type="paragraph" w:styleId="Ttulo4">
    <w:name w:val="heading 4"/>
    <w:basedOn w:val="Normal"/>
    <w:next w:val="Normal"/>
    <w:link w:val="Ttulo4Car"/>
    <w:uiPriority w:val="9"/>
    <w:semiHidden/>
    <w:unhideWhenUsed/>
    <w:qFormat/>
    <w:rsid w:val="001518C6"/>
    <w:pPr>
      <w:keepNext/>
      <w:keepLines/>
      <w:spacing w:before="40" w:after="0" w:line="360" w:lineRule="auto"/>
      <w:ind w:firstLine="567"/>
      <w:jc w:val="both"/>
      <w:outlineLvl w:val="3"/>
    </w:pPr>
    <w:rPr>
      <w:rFonts w:asciiTheme="majorHAnsi" w:eastAsiaTheme="majorEastAsia" w:hAnsiTheme="majorHAnsi" w:cstheme="majorBidi"/>
      <w:i/>
      <w:iCs/>
      <w:color w:val="2F5496" w:themeColor="accent1" w:themeShade="BF"/>
      <w:kern w:val="0"/>
      <w:sz w:val="22"/>
      <w:szCs w:val="22"/>
      <w:lang w:val="es-VE" w:eastAsia="ar-SA"/>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52E7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52E7F"/>
  </w:style>
  <w:style w:type="paragraph" w:styleId="Piedepgina">
    <w:name w:val="footer"/>
    <w:basedOn w:val="Normal"/>
    <w:link w:val="PiedepginaCar"/>
    <w:uiPriority w:val="99"/>
    <w:unhideWhenUsed/>
    <w:rsid w:val="00A52E7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52E7F"/>
  </w:style>
  <w:style w:type="character" w:customStyle="1" w:styleId="Ttulo1Car">
    <w:name w:val="Título 1 Car"/>
    <w:basedOn w:val="Fuentedeprrafopredeter"/>
    <w:link w:val="Ttulo1"/>
    <w:uiPriority w:val="9"/>
    <w:rsid w:val="0088363F"/>
    <w:rPr>
      <w:rFonts w:ascii="Times New Roman" w:eastAsiaTheme="majorEastAsia" w:hAnsi="Times New Roman" w:cstheme="majorBidi"/>
      <w:b/>
      <w:color w:val="C45911" w:themeColor="accent2" w:themeShade="BF"/>
      <w:kern w:val="0"/>
      <w:sz w:val="28"/>
      <w:szCs w:val="32"/>
      <w:lang w:val="es-ES"/>
      <w14:ligatures w14:val="none"/>
    </w:rPr>
  </w:style>
  <w:style w:type="paragraph" w:styleId="Bibliografa">
    <w:name w:val="Bibliography"/>
    <w:basedOn w:val="Normal"/>
    <w:next w:val="Normal"/>
    <w:uiPriority w:val="37"/>
    <w:unhideWhenUsed/>
    <w:qFormat/>
    <w:rsid w:val="0088363F"/>
    <w:pPr>
      <w:spacing w:line="256" w:lineRule="auto"/>
    </w:pPr>
    <w:rPr>
      <w:kern w:val="0"/>
      <w:sz w:val="22"/>
      <w:szCs w:val="22"/>
      <w:lang w:val="es-VE"/>
      <w14:ligatures w14:val="none"/>
    </w:rPr>
  </w:style>
  <w:style w:type="character" w:customStyle="1" w:styleId="Ttulo2Car">
    <w:name w:val="Título 2 Car"/>
    <w:basedOn w:val="Fuentedeprrafopredeter"/>
    <w:link w:val="Ttulo2"/>
    <w:uiPriority w:val="9"/>
    <w:rsid w:val="000A1408"/>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semiHidden/>
    <w:rsid w:val="001518C6"/>
    <w:rPr>
      <w:rFonts w:asciiTheme="majorHAnsi" w:eastAsiaTheme="majorEastAsia" w:hAnsiTheme="majorHAnsi" w:cstheme="majorBidi"/>
      <w:color w:val="1F3763" w:themeColor="accent1" w:themeShade="7F"/>
      <w:kern w:val="0"/>
      <w:lang w:val="es-VE" w:eastAsia="ar-SA"/>
      <w14:ligatures w14:val="none"/>
    </w:rPr>
  </w:style>
  <w:style w:type="character" w:customStyle="1" w:styleId="Ttulo4Car">
    <w:name w:val="Título 4 Car"/>
    <w:basedOn w:val="Fuentedeprrafopredeter"/>
    <w:link w:val="Ttulo4"/>
    <w:uiPriority w:val="9"/>
    <w:semiHidden/>
    <w:rsid w:val="001518C6"/>
    <w:rPr>
      <w:rFonts w:asciiTheme="majorHAnsi" w:eastAsiaTheme="majorEastAsia" w:hAnsiTheme="majorHAnsi" w:cstheme="majorBidi"/>
      <w:i/>
      <w:iCs/>
      <w:color w:val="2F5496" w:themeColor="accent1" w:themeShade="BF"/>
      <w:kern w:val="0"/>
      <w:sz w:val="22"/>
      <w:szCs w:val="22"/>
      <w:lang w:val="es-VE" w:eastAsia="ar-SA"/>
      <w14:ligatures w14:val="none"/>
    </w:rPr>
  </w:style>
  <w:style w:type="numbering" w:customStyle="1" w:styleId="Sinlista1">
    <w:name w:val="Sin lista1"/>
    <w:next w:val="Sinlista"/>
    <w:uiPriority w:val="99"/>
    <w:semiHidden/>
    <w:unhideWhenUsed/>
    <w:rsid w:val="001518C6"/>
  </w:style>
  <w:style w:type="character" w:styleId="Hipervnculo">
    <w:name w:val="Hyperlink"/>
    <w:basedOn w:val="Fuentedeprrafopredeter"/>
    <w:uiPriority w:val="99"/>
    <w:unhideWhenUsed/>
    <w:rsid w:val="001518C6"/>
    <w:rPr>
      <w:color w:val="0563C1" w:themeColor="hyperlink"/>
      <w:u w:val="single"/>
    </w:rPr>
  </w:style>
  <w:style w:type="paragraph" w:styleId="NormalWeb">
    <w:name w:val="Normal (Web)"/>
    <w:aliases w:val=" Car,Car,Normal (Web) Car Car Car Car,Normal (Web) Car Car Car Car Car Car Car Car Car,Normal (Web) Car Car Car Car Car Car,Normal (Web) Car Car Car Car Car,Normal (Web) Car Car Car,Normal (Web)1 Car Car Car Car,Normal (Web) Car Car"/>
    <w:basedOn w:val="Normal"/>
    <w:link w:val="NormalWebCar"/>
    <w:uiPriority w:val="99"/>
    <w:unhideWhenUsed/>
    <w:qFormat/>
    <w:rsid w:val="001518C6"/>
    <w:pPr>
      <w:spacing w:before="100" w:beforeAutospacing="1" w:after="100" w:afterAutospacing="1" w:line="240" w:lineRule="auto"/>
    </w:pPr>
    <w:rPr>
      <w:rFonts w:ascii="Times New Roman" w:eastAsia="Times New Roman" w:hAnsi="Times New Roman" w:cs="Times New Roman"/>
      <w:kern w:val="0"/>
      <w:lang w:val="es-VE" w:eastAsia="es-VE"/>
      <w14:ligatures w14:val="none"/>
    </w:rPr>
  </w:style>
  <w:style w:type="character" w:customStyle="1" w:styleId="NormalWebCar">
    <w:name w:val="Normal (Web) Car"/>
    <w:aliases w:val=" Car Car,Car Car,Normal (Web) Car Car Car Car Car1,Normal (Web) Car Car Car Car Car Car Car Car Car Car,Normal (Web) Car Car Car Car Car Car Car,Normal (Web) Car Car Car Car Car Car1,Normal (Web) Car Car Car Car1"/>
    <w:link w:val="NormalWeb"/>
    <w:uiPriority w:val="99"/>
    <w:rsid w:val="001518C6"/>
    <w:rPr>
      <w:rFonts w:ascii="Times New Roman" w:eastAsia="Times New Roman" w:hAnsi="Times New Roman" w:cs="Times New Roman"/>
      <w:kern w:val="0"/>
      <w:lang w:val="es-VE" w:eastAsia="es-VE"/>
      <w14:ligatures w14:val="none"/>
    </w:rPr>
  </w:style>
  <w:style w:type="paragraph" w:customStyle="1" w:styleId="content-meta-dataauthors">
    <w:name w:val="content-meta-data__authors"/>
    <w:basedOn w:val="Normal"/>
    <w:rsid w:val="001518C6"/>
    <w:pPr>
      <w:spacing w:before="100" w:beforeAutospacing="1" w:after="100" w:afterAutospacing="1" w:line="240" w:lineRule="auto"/>
    </w:pPr>
    <w:rPr>
      <w:rFonts w:ascii="Times New Roman" w:eastAsia="Times New Roman" w:hAnsi="Times New Roman" w:cs="Times New Roman"/>
      <w:kern w:val="0"/>
      <w:lang w:val="es-VE" w:eastAsia="es-VE"/>
      <w14:ligatures w14:val="none"/>
    </w:rPr>
  </w:style>
  <w:style w:type="paragraph" w:styleId="Prrafodelista">
    <w:name w:val="List Paragraph"/>
    <w:basedOn w:val="Normal"/>
    <w:uiPriority w:val="34"/>
    <w:qFormat/>
    <w:rsid w:val="001518C6"/>
    <w:pPr>
      <w:spacing w:after="0" w:line="360" w:lineRule="auto"/>
      <w:ind w:left="720" w:firstLine="567"/>
      <w:contextualSpacing/>
      <w:jc w:val="both"/>
    </w:pPr>
    <w:rPr>
      <w:rFonts w:ascii="Calibri" w:eastAsia="Calibri" w:hAnsi="Calibri" w:cs="Times New Roman"/>
      <w:kern w:val="0"/>
      <w:sz w:val="22"/>
      <w:szCs w:val="22"/>
      <w:lang w:val="es-VE" w:eastAsia="ar-SA"/>
      <w14:ligatures w14:val="none"/>
    </w:rPr>
  </w:style>
  <w:style w:type="paragraph" w:customStyle="1" w:styleId="Referentes">
    <w:name w:val="Referentes"/>
    <w:basedOn w:val="Normal"/>
    <w:qFormat/>
    <w:rsid w:val="001518C6"/>
    <w:pPr>
      <w:spacing w:before="360" w:after="360" w:line="240" w:lineRule="auto"/>
      <w:ind w:left="567" w:hanging="567"/>
      <w:jc w:val="both"/>
    </w:pPr>
    <w:rPr>
      <w:rFonts w:ascii="Times New Roman" w:eastAsia="Calibri" w:hAnsi="Times New Roman" w:cs="Times New Roman"/>
      <w:kern w:val="0"/>
      <w:lang w:val="es-MX"/>
      <w14:ligatures w14:val="none"/>
    </w:rPr>
  </w:style>
  <w:style w:type="character" w:styleId="nfasis">
    <w:name w:val="Emphasis"/>
    <w:basedOn w:val="Fuentedeprrafopredeter"/>
    <w:uiPriority w:val="20"/>
    <w:qFormat/>
    <w:rsid w:val="001518C6"/>
    <w:rPr>
      <w:i/>
      <w:iCs/>
    </w:rPr>
  </w:style>
  <w:style w:type="character" w:customStyle="1" w:styleId="SinespaciadoCar">
    <w:name w:val="Sin espaciado Car"/>
    <w:link w:val="Sinespaciado"/>
    <w:uiPriority w:val="1"/>
    <w:qFormat/>
    <w:locked/>
    <w:rsid w:val="001518C6"/>
    <w:rPr>
      <w:rFonts w:ascii="Calibri" w:eastAsia="Times New Roman" w:hAnsi="Calibri" w:cs="Times New Roman"/>
      <w:lang w:eastAsia="es-VE"/>
    </w:rPr>
  </w:style>
  <w:style w:type="paragraph" w:styleId="Sinespaciado">
    <w:name w:val="No Spacing"/>
    <w:link w:val="SinespaciadoCar"/>
    <w:uiPriority w:val="1"/>
    <w:qFormat/>
    <w:rsid w:val="001518C6"/>
    <w:pPr>
      <w:spacing w:after="0" w:line="240" w:lineRule="auto"/>
    </w:pPr>
    <w:rPr>
      <w:rFonts w:ascii="Calibri" w:eastAsia="Times New Roman" w:hAnsi="Calibri" w:cs="Times New Roman"/>
      <w:lang w:eastAsia="es-VE"/>
    </w:rPr>
  </w:style>
  <w:style w:type="paragraph" w:customStyle="1" w:styleId="Resumen">
    <w:name w:val="Resumen"/>
    <w:basedOn w:val="Normal"/>
    <w:uiPriority w:val="99"/>
    <w:qFormat/>
    <w:rsid w:val="001518C6"/>
    <w:pPr>
      <w:widowControl w:val="0"/>
      <w:spacing w:before="240" w:after="120" w:line="276" w:lineRule="auto"/>
      <w:jc w:val="both"/>
    </w:pPr>
    <w:rPr>
      <w:rFonts w:ascii="Garamond" w:eastAsia="Calibri" w:hAnsi="Garamond" w:cs="Times New Roman"/>
      <w:b/>
      <w:bCs/>
      <w:i/>
      <w:kern w:val="0"/>
      <w:sz w:val="20"/>
      <w:szCs w:val="20"/>
      <w:lang w:val="es-ES"/>
      <w14:ligatures w14:val="none"/>
    </w:rPr>
  </w:style>
  <w:style w:type="paragraph" w:customStyle="1" w:styleId="Keywords">
    <w:name w:val="Keywords"/>
    <w:basedOn w:val="Normal"/>
    <w:autoRedefine/>
    <w:uiPriority w:val="99"/>
    <w:qFormat/>
    <w:rsid w:val="001518C6"/>
    <w:pPr>
      <w:widowControl w:val="0"/>
      <w:spacing w:after="0" w:line="240" w:lineRule="auto"/>
      <w:jc w:val="both"/>
    </w:pPr>
    <w:rPr>
      <w:rFonts w:ascii="Times New Roman" w:eastAsia="Calibri" w:hAnsi="Times New Roman" w:cs="Times New Roman"/>
      <w:kern w:val="0"/>
      <w:lang w:val="en-US"/>
      <w14:ligatures w14:val="none"/>
    </w:rPr>
  </w:style>
  <w:style w:type="paragraph" w:customStyle="1" w:styleId="Bloqueblanco">
    <w:name w:val="Bloque blanco"/>
    <w:basedOn w:val="Normal"/>
    <w:autoRedefine/>
    <w:uiPriority w:val="99"/>
    <w:qFormat/>
    <w:rsid w:val="001518C6"/>
    <w:pPr>
      <w:widowControl w:val="0"/>
      <w:spacing w:after="0" w:line="240" w:lineRule="auto"/>
      <w:jc w:val="both"/>
    </w:pPr>
    <w:rPr>
      <w:rFonts w:ascii="Garamond" w:eastAsia="Calibri" w:hAnsi="Garamond" w:cs="Times New Roman"/>
      <w:kern w:val="0"/>
      <w:sz w:val="12"/>
      <w:szCs w:val="18"/>
      <w:lang w:val="es-CO"/>
      <w14:ligatures w14:val="none"/>
    </w:rPr>
  </w:style>
  <w:style w:type="paragraph" w:customStyle="1" w:styleId="Default">
    <w:name w:val="Default"/>
    <w:qFormat/>
    <w:rsid w:val="001518C6"/>
    <w:pPr>
      <w:autoSpaceDE w:val="0"/>
      <w:autoSpaceDN w:val="0"/>
      <w:adjustRightInd w:val="0"/>
      <w:spacing w:after="0" w:line="240" w:lineRule="auto"/>
    </w:pPr>
    <w:rPr>
      <w:rFonts w:ascii="Arial" w:hAnsi="Arial" w:cs="Arial"/>
      <w:color w:val="000000"/>
      <w:kern w:val="0"/>
      <w:lang w:val="es-VE"/>
      <w14:ligatures w14:val="none"/>
    </w:rPr>
  </w:style>
  <w:style w:type="paragraph" w:styleId="Textodeglobo">
    <w:name w:val="Balloon Text"/>
    <w:basedOn w:val="Normal"/>
    <w:link w:val="TextodegloboCar"/>
    <w:uiPriority w:val="99"/>
    <w:semiHidden/>
    <w:unhideWhenUsed/>
    <w:rsid w:val="001518C6"/>
    <w:pPr>
      <w:spacing w:after="0" w:line="240" w:lineRule="auto"/>
    </w:pPr>
    <w:rPr>
      <w:rFonts w:ascii="Tahoma" w:hAnsi="Tahoma" w:cs="Tahoma"/>
      <w:kern w:val="0"/>
      <w:sz w:val="16"/>
      <w:szCs w:val="16"/>
      <w:lang w:val="es-VE"/>
      <w14:ligatures w14:val="none"/>
    </w:rPr>
  </w:style>
  <w:style w:type="character" w:customStyle="1" w:styleId="TextodegloboCar">
    <w:name w:val="Texto de globo Car"/>
    <w:basedOn w:val="Fuentedeprrafopredeter"/>
    <w:link w:val="Textodeglobo"/>
    <w:uiPriority w:val="99"/>
    <w:semiHidden/>
    <w:rsid w:val="001518C6"/>
    <w:rPr>
      <w:rFonts w:ascii="Tahoma" w:hAnsi="Tahoma" w:cs="Tahoma"/>
      <w:kern w:val="0"/>
      <w:sz w:val="16"/>
      <w:szCs w:val="16"/>
      <w:lang w:val="es-VE"/>
      <w14:ligatures w14:val="none"/>
    </w:rPr>
  </w:style>
  <w:style w:type="character" w:customStyle="1" w:styleId="html-span">
    <w:name w:val="html-span"/>
    <w:basedOn w:val="Fuentedeprrafopredeter"/>
    <w:rsid w:val="001518C6"/>
  </w:style>
  <w:style w:type="character" w:customStyle="1" w:styleId="xzpqnlu">
    <w:name w:val="xzpqnlu"/>
    <w:basedOn w:val="Fuentedeprrafopredeter"/>
    <w:rsid w:val="001518C6"/>
  </w:style>
  <w:style w:type="character" w:styleId="Refdecomentario">
    <w:name w:val="annotation reference"/>
    <w:uiPriority w:val="99"/>
    <w:semiHidden/>
    <w:unhideWhenUsed/>
    <w:rsid w:val="001518C6"/>
    <w:rPr>
      <w:sz w:val="16"/>
      <w:szCs w:val="16"/>
    </w:rPr>
  </w:style>
  <w:style w:type="character" w:styleId="Textoennegrita">
    <w:name w:val="Strong"/>
    <w:basedOn w:val="Fuentedeprrafopredeter"/>
    <w:uiPriority w:val="22"/>
    <w:qFormat/>
    <w:rsid w:val="001518C6"/>
    <w:rPr>
      <w:b/>
      <w:bCs/>
    </w:rPr>
  </w:style>
  <w:style w:type="character" w:customStyle="1" w:styleId="hwtze">
    <w:name w:val="hwtze"/>
    <w:basedOn w:val="Fuentedeprrafopredeter"/>
    <w:rsid w:val="001518C6"/>
  </w:style>
  <w:style w:type="character" w:customStyle="1" w:styleId="rynqvb">
    <w:name w:val="rynqvb"/>
    <w:basedOn w:val="Fuentedeprrafopredeter"/>
    <w:rsid w:val="001518C6"/>
  </w:style>
  <w:style w:type="paragraph" w:styleId="Textoindependiente">
    <w:name w:val="Body Text"/>
    <w:basedOn w:val="Normal"/>
    <w:link w:val="TextoindependienteCar"/>
    <w:uiPriority w:val="1"/>
    <w:qFormat/>
    <w:rsid w:val="001518C6"/>
    <w:pPr>
      <w:widowControl w:val="0"/>
      <w:autoSpaceDE w:val="0"/>
      <w:autoSpaceDN w:val="0"/>
      <w:spacing w:after="0" w:line="240" w:lineRule="auto"/>
      <w:ind w:left="468"/>
      <w:jc w:val="both"/>
    </w:pPr>
    <w:rPr>
      <w:rFonts w:ascii="Arial MT" w:eastAsia="Arial MT" w:hAnsi="Arial MT" w:cs="Arial MT"/>
      <w:kern w:val="0"/>
      <w:lang w:val="es-ES"/>
      <w14:ligatures w14:val="none"/>
    </w:rPr>
  </w:style>
  <w:style w:type="character" w:customStyle="1" w:styleId="TextoindependienteCar">
    <w:name w:val="Texto independiente Car"/>
    <w:basedOn w:val="Fuentedeprrafopredeter"/>
    <w:link w:val="Textoindependiente"/>
    <w:uiPriority w:val="1"/>
    <w:rsid w:val="001518C6"/>
    <w:rPr>
      <w:rFonts w:ascii="Arial MT" w:eastAsia="Arial MT" w:hAnsi="Arial MT" w:cs="Arial MT"/>
      <w:kern w:val="0"/>
      <w:lang w:val="es-ES"/>
      <w14:ligatures w14:val="none"/>
    </w:rPr>
  </w:style>
  <w:style w:type="paragraph" w:customStyle="1" w:styleId="TableParagraph">
    <w:name w:val="Table Paragraph"/>
    <w:basedOn w:val="Normal"/>
    <w:uiPriority w:val="1"/>
    <w:qFormat/>
    <w:rsid w:val="001518C6"/>
    <w:pPr>
      <w:widowControl w:val="0"/>
      <w:autoSpaceDE w:val="0"/>
      <w:autoSpaceDN w:val="0"/>
      <w:spacing w:after="0" w:line="240" w:lineRule="auto"/>
    </w:pPr>
    <w:rPr>
      <w:rFonts w:ascii="Arial MT" w:eastAsia="Arial MT" w:hAnsi="Arial MT" w:cs="Arial MT"/>
      <w:kern w:val="0"/>
      <w:sz w:val="22"/>
      <w:szCs w:val="22"/>
      <w:lang w:val="es-ES"/>
      <w14:ligatures w14:val="none"/>
    </w:rPr>
  </w:style>
  <w:style w:type="character" w:customStyle="1" w:styleId="HTMLconformatoprevioCar">
    <w:name w:val="HTML con formato previo Car"/>
    <w:basedOn w:val="Fuentedeprrafopredeter"/>
    <w:link w:val="HTMLconformatoprevio"/>
    <w:uiPriority w:val="99"/>
    <w:semiHidden/>
    <w:rsid w:val="001518C6"/>
    <w:rPr>
      <w:rFonts w:ascii="Courier New" w:eastAsia="Times New Roman" w:hAnsi="Courier New" w:cs="Courier New"/>
      <w:sz w:val="20"/>
      <w:szCs w:val="20"/>
      <w:lang w:eastAsia="es-VE"/>
    </w:rPr>
  </w:style>
  <w:style w:type="paragraph" w:styleId="HTMLconformatoprevio">
    <w:name w:val="HTML Preformatted"/>
    <w:basedOn w:val="Normal"/>
    <w:link w:val="HTMLconformatoprevioCar"/>
    <w:uiPriority w:val="99"/>
    <w:semiHidden/>
    <w:unhideWhenUsed/>
    <w:rsid w:val="00151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VE"/>
    </w:rPr>
  </w:style>
  <w:style w:type="character" w:customStyle="1" w:styleId="HTMLconformatoprevioCar1">
    <w:name w:val="HTML con formato previo Car1"/>
    <w:basedOn w:val="Fuentedeprrafopredeter"/>
    <w:uiPriority w:val="99"/>
    <w:semiHidden/>
    <w:rsid w:val="001518C6"/>
    <w:rPr>
      <w:rFonts w:ascii="Consolas" w:hAnsi="Consolas"/>
      <w:sz w:val="20"/>
      <w:szCs w:val="20"/>
    </w:rPr>
  </w:style>
  <w:style w:type="character" w:customStyle="1" w:styleId="y2iqfc">
    <w:name w:val="y2iqfc"/>
    <w:basedOn w:val="Fuentedeprrafopredeter"/>
    <w:rsid w:val="001518C6"/>
  </w:style>
  <w:style w:type="paragraph" w:customStyle="1" w:styleId="show">
    <w:name w:val="show"/>
    <w:basedOn w:val="Normal"/>
    <w:rsid w:val="001518C6"/>
    <w:pPr>
      <w:spacing w:before="100" w:beforeAutospacing="1" w:after="100" w:afterAutospacing="1" w:line="240" w:lineRule="auto"/>
    </w:pPr>
    <w:rPr>
      <w:rFonts w:ascii="Times New Roman" w:eastAsia="Times New Roman" w:hAnsi="Times New Roman" w:cs="Times New Roman"/>
      <w:kern w:val="0"/>
      <w:lang w:val="es-EC" w:eastAsia="es-EC"/>
      <w14:ligatures w14:val="none"/>
    </w:rPr>
  </w:style>
  <w:style w:type="table" w:styleId="Tablaconcuadrcula">
    <w:name w:val="Table Grid"/>
    <w:basedOn w:val="Tablanormal"/>
    <w:uiPriority w:val="39"/>
    <w:rsid w:val="001518C6"/>
    <w:pPr>
      <w:spacing w:after="0" w:line="240" w:lineRule="auto"/>
    </w:pPr>
    <w:rPr>
      <w:kern w:val="0"/>
      <w:sz w:val="22"/>
      <w:szCs w:val="22"/>
      <w:lang w:val="es-V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Descripcin">
    <w:name w:val="caption"/>
    <w:basedOn w:val="Normal"/>
    <w:next w:val="Normal"/>
    <w:uiPriority w:val="35"/>
    <w:unhideWhenUsed/>
    <w:qFormat/>
    <w:rsid w:val="001518C6"/>
    <w:pPr>
      <w:spacing w:after="200" w:line="240" w:lineRule="auto"/>
    </w:pPr>
    <w:rPr>
      <w:i/>
      <w:iCs/>
      <w:color w:val="44546A" w:themeColor="text2"/>
      <w:kern w:val="0"/>
      <w:sz w:val="18"/>
      <w:szCs w:val="18"/>
      <w:lang w:val="es-EC"/>
      <w14:ligatures w14:val="none"/>
    </w:rPr>
  </w:style>
  <w:style w:type="character" w:customStyle="1" w:styleId="markedcontent">
    <w:name w:val="markedcontent"/>
    <w:basedOn w:val="Fuentedeprrafopredeter"/>
    <w:rsid w:val="001518C6"/>
  </w:style>
  <w:style w:type="character" w:customStyle="1" w:styleId="fontstyle01">
    <w:name w:val="fontstyle01"/>
    <w:basedOn w:val="Fuentedeprrafopredeter"/>
    <w:rsid w:val="001518C6"/>
    <w:rPr>
      <w:rFonts w:ascii="TimesNewRomanPSMT" w:hAnsi="TimesNewRomanPSMT" w:hint="default"/>
      <w:b w:val="0"/>
      <w:bCs w:val="0"/>
      <w:i w:val="0"/>
      <w:iCs w:val="0"/>
      <w:color w:val="000000"/>
      <w:sz w:val="36"/>
      <w:szCs w:val="36"/>
    </w:rPr>
  </w:style>
  <w:style w:type="table" w:customStyle="1" w:styleId="Tabladecuadrcula1clara1">
    <w:name w:val="Tabla de cuadrícula 1 clara1"/>
    <w:basedOn w:val="Tablanormal"/>
    <w:uiPriority w:val="46"/>
    <w:rsid w:val="001518C6"/>
    <w:pPr>
      <w:spacing w:after="0" w:line="240" w:lineRule="auto"/>
    </w:pPr>
    <w:rPr>
      <w:rFonts w:ascii="Times New Roman" w:eastAsia="DejaVu Sans" w:hAnsi="Times New Roman" w:cs="Times New Roman"/>
      <w:kern w:val="0"/>
      <w:sz w:val="20"/>
      <w:szCs w:val="20"/>
      <w:lang w:val="es-ES"/>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comentario">
    <w:name w:val="annotation text"/>
    <w:basedOn w:val="Normal"/>
    <w:link w:val="TextocomentarioCar"/>
    <w:uiPriority w:val="99"/>
    <w:unhideWhenUsed/>
    <w:rsid w:val="001518C6"/>
    <w:pPr>
      <w:spacing w:after="0" w:line="360" w:lineRule="auto"/>
      <w:ind w:firstLine="567"/>
      <w:jc w:val="both"/>
    </w:pPr>
    <w:rPr>
      <w:rFonts w:ascii="Calibri" w:eastAsia="Calibri" w:hAnsi="Calibri" w:cs="Times New Roman"/>
      <w:kern w:val="0"/>
      <w:sz w:val="20"/>
      <w:szCs w:val="20"/>
      <w:lang w:val="es-VE" w:eastAsia="ar-SA"/>
      <w14:ligatures w14:val="none"/>
    </w:rPr>
  </w:style>
  <w:style w:type="character" w:customStyle="1" w:styleId="TextocomentarioCar">
    <w:name w:val="Texto comentario Car"/>
    <w:basedOn w:val="Fuentedeprrafopredeter"/>
    <w:link w:val="Textocomentario"/>
    <w:uiPriority w:val="99"/>
    <w:rsid w:val="001518C6"/>
    <w:rPr>
      <w:rFonts w:ascii="Calibri" w:eastAsia="Calibri" w:hAnsi="Calibri" w:cs="Times New Roman"/>
      <w:kern w:val="0"/>
      <w:sz w:val="20"/>
      <w:szCs w:val="20"/>
      <w:lang w:val="es-VE" w:eastAsia="ar-SA"/>
      <w14:ligatures w14:val="none"/>
    </w:rPr>
  </w:style>
  <w:style w:type="table" w:styleId="Tabladecuadrcula5oscura-nfasis3">
    <w:name w:val="Grid Table 5 Dark Accent 3"/>
    <w:basedOn w:val="Tablanormal"/>
    <w:uiPriority w:val="50"/>
    <w:rsid w:val="001518C6"/>
    <w:pPr>
      <w:spacing w:after="0" w:line="240" w:lineRule="auto"/>
    </w:pPr>
    <w:rPr>
      <w:kern w:val="0"/>
      <w:sz w:val="22"/>
      <w:szCs w:val="22"/>
      <w:lang w:val="es-VE"/>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adelista4-nfasis2">
    <w:name w:val="List Table 4 Accent 2"/>
    <w:basedOn w:val="Tablanormal"/>
    <w:uiPriority w:val="49"/>
    <w:rsid w:val="001518C6"/>
    <w:pPr>
      <w:spacing w:after="0" w:line="240" w:lineRule="auto"/>
    </w:pPr>
    <w:rPr>
      <w:kern w:val="0"/>
      <w:sz w:val="22"/>
      <w:szCs w:val="22"/>
      <w:lang w:val="es-VE"/>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Textonotapie">
    <w:name w:val="footnote text"/>
    <w:basedOn w:val="Normal"/>
    <w:link w:val="TextonotapieCar"/>
    <w:uiPriority w:val="99"/>
    <w:semiHidden/>
    <w:unhideWhenUsed/>
    <w:rsid w:val="001518C6"/>
    <w:pPr>
      <w:spacing w:after="0" w:line="240" w:lineRule="auto"/>
    </w:pPr>
    <w:rPr>
      <w:rFonts w:ascii="Calibri" w:eastAsia="Calibri" w:hAnsi="Calibri" w:cs="Times New Roman"/>
      <w:kern w:val="0"/>
      <w:sz w:val="20"/>
      <w:szCs w:val="20"/>
      <w:lang w:val="es-ES"/>
      <w14:ligatures w14:val="none"/>
    </w:rPr>
  </w:style>
  <w:style w:type="character" w:customStyle="1" w:styleId="TextonotapieCar">
    <w:name w:val="Texto nota pie Car"/>
    <w:basedOn w:val="Fuentedeprrafopredeter"/>
    <w:link w:val="Textonotapie"/>
    <w:uiPriority w:val="99"/>
    <w:semiHidden/>
    <w:rsid w:val="001518C6"/>
    <w:rPr>
      <w:rFonts w:ascii="Calibri" w:eastAsia="Calibri" w:hAnsi="Calibri" w:cs="Times New Roman"/>
      <w:kern w:val="0"/>
      <w:sz w:val="20"/>
      <w:szCs w:val="20"/>
      <w:lang w:val="es-ES"/>
      <w14:ligatures w14:val="none"/>
    </w:rPr>
  </w:style>
  <w:style w:type="character" w:styleId="Refdenotaalpie">
    <w:name w:val="footnote reference"/>
    <w:basedOn w:val="Fuentedeprrafopredeter"/>
    <w:uiPriority w:val="99"/>
    <w:semiHidden/>
    <w:unhideWhenUsed/>
    <w:rsid w:val="001518C6"/>
    <w:rPr>
      <w:vertAlign w:val="superscript"/>
    </w:rPr>
  </w:style>
  <w:style w:type="paragraph" w:customStyle="1" w:styleId="ds-markdown-paragraph">
    <w:name w:val="ds-markdown-paragraph"/>
    <w:basedOn w:val="Normal"/>
    <w:rsid w:val="001518C6"/>
    <w:pPr>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styleId="TtuloTDC">
    <w:name w:val="TOC Heading"/>
    <w:basedOn w:val="Ttulo1"/>
    <w:next w:val="Normal"/>
    <w:uiPriority w:val="39"/>
    <w:unhideWhenUsed/>
    <w:qFormat/>
    <w:rsid w:val="001518C6"/>
    <w:pPr>
      <w:spacing w:line="259" w:lineRule="auto"/>
      <w:jc w:val="left"/>
      <w:outlineLvl w:val="9"/>
    </w:pPr>
    <w:rPr>
      <w:rFonts w:asciiTheme="majorHAnsi" w:hAnsiTheme="majorHAnsi"/>
      <w:b w:val="0"/>
      <w:color w:val="2F5496" w:themeColor="accent1" w:themeShade="BF"/>
      <w:sz w:val="32"/>
      <w:lang w:val="en-US"/>
    </w:rPr>
  </w:style>
  <w:style w:type="paragraph" w:styleId="TDC1">
    <w:name w:val="toc 1"/>
    <w:basedOn w:val="Normal"/>
    <w:next w:val="Normal"/>
    <w:autoRedefine/>
    <w:uiPriority w:val="39"/>
    <w:unhideWhenUsed/>
    <w:rsid w:val="001518C6"/>
    <w:pPr>
      <w:spacing w:after="100" w:line="256" w:lineRule="auto"/>
    </w:pPr>
    <w:rPr>
      <w:kern w:val="0"/>
      <w:sz w:val="22"/>
      <w:szCs w:val="22"/>
      <w:lang w:val="es-VE"/>
      <w14:ligatures w14:val="none"/>
    </w:rPr>
  </w:style>
  <w:style w:type="paragraph" w:styleId="TDC2">
    <w:name w:val="toc 2"/>
    <w:basedOn w:val="Normal"/>
    <w:next w:val="Normal"/>
    <w:autoRedefine/>
    <w:uiPriority w:val="39"/>
    <w:unhideWhenUsed/>
    <w:rsid w:val="001518C6"/>
    <w:pPr>
      <w:spacing w:after="100" w:line="256" w:lineRule="auto"/>
      <w:ind w:left="220"/>
    </w:pPr>
    <w:rPr>
      <w:kern w:val="0"/>
      <w:sz w:val="22"/>
      <w:szCs w:val="22"/>
      <w:lang w:val="es-VE"/>
      <w14:ligatures w14:val="none"/>
    </w:rPr>
  </w:style>
  <w:style w:type="paragraph" w:styleId="Ttulo">
    <w:name w:val="Title"/>
    <w:basedOn w:val="Normal"/>
    <w:next w:val="Normal"/>
    <w:link w:val="TtuloCar"/>
    <w:uiPriority w:val="10"/>
    <w:qFormat/>
    <w:rsid w:val="001518C6"/>
    <w:pPr>
      <w:spacing w:after="0" w:line="240" w:lineRule="auto"/>
      <w:contextualSpacing/>
    </w:pPr>
    <w:rPr>
      <w:rFonts w:asciiTheme="majorHAnsi" w:eastAsiaTheme="majorEastAsia" w:hAnsiTheme="majorHAnsi" w:cstheme="majorBidi"/>
      <w:spacing w:val="-10"/>
      <w:kern w:val="28"/>
      <w:sz w:val="56"/>
      <w:szCs w:val="56"/>
      <w:lang w:val="es-VE"/>
      <w14:ligatures w14:val="none"/>
    </w:rPr>
  </w:style>
  <w:style w:type="character" w:customStyle="1" w:styleId="TtuloCar">
    <w:name w:val="Título Car"/>
    <w:basedOn w:val="Fuentedeprrafopredeter"/>
    <w:link w:val="Ttulo"/>
    <w:uiPriority w:val="10"/>
    <w:rsid w:val="001518C6"/>
    <w:rPr>
      <w:rFonts w:asciiTheme="majorHAnsi" w:eastAsiaTheme="majorEastAsia" w:hAnsiTheme="majorHAnsi" w:cstheme="majorBidi"/>
      <w:spacing w:val="-10"/>
      <w:kern w:val="28"/>
      <w:sz w:val="56"/>
      <w:szCs w:val="56"/>
      <w:lang w:val="es-V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yavaz79@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Con081</b:Tag>
    <b:SourceType>Book</b:SourceType>
    <b:Guid>{A900F638-0FAA-4EED-80D7-2D2E18131EFE}</b:Guid>
    <b:Author>
      <b:Author>
        <b:Corporate>Constitución del Ecuador</b:Corporate>
      </b:Author>
    </b:Author>
    <b:Title>Constitución de la República del Ecuador</b:Title>
    <b:Year>2008</b:Year>
    <b:City>Quito</b:City>
    <b:Publisher>LEXIS</b:Publisher>
    <b:RefOrder>1</b:RefOrder>
  </b:Source>
  <b:Source>
    <b:Tag>Cód09</b:Tag>
    <b:SourceType>Misc</b:SourceType>
    <b:Guid>{0FD441A9-51D0-4396-9C9A-E7A4A8E5D378}</b:Guid>
    <b:Author>
      <b:Author>
        <b:Corporate>Código de la Democracia</b:Corporate>
      </b:Author>
    </b:Author>
    <b:Title>Ley Orgánica Electoral y de Organizaciones Políticas</b:Title>
    <b:Year>2009</b:Year>
    <b:City>Quito</b:City>
    <b:Publisher>LEXIS FINDER</b:Publisher>
    <b:Month>Abril</b:Month>
    <b:Day>27</b:Day>
    <b:StateProvince>Pichincha</b:StateProvince>
    <b:CountryRegion>Ecuador</b:CountryRegion>
    <b:RefOrder>2</b:RefOrder>
  </b:Source>
  <b:Source>
    <b:Tag>LOS10</b:Tag>
    <b:SourceType>Misc</b:SourceType>
    <b:Guid>{9881B69C-B99E-4740-A088-0806989E3C85}</b:Guid>
    <b:Title>La Ley Orgánica de Servicio Público </b:Title>
    <b:Year>2010</b:Year>
    <b:Month>octubre</b:Month>
    <b:Day>6</b:Day>
    <b:Author>
      <b:Author>
        <b:Corporate>LOSEP</b:Corporate>
      </b:Author>
    </b:Author>
    <b:City>Quito</b:City>
    <b:StateProvince>Pichincha</b:StateProvince>
    <b:CountryRegion>Ecuador</b:CountryRegion>
    <b:Publisher>LEXIS</b:Publisher>
    <b:RefOrder>3</b:RefOrder>
  </b:Source>
  <b:Source>
    <b:Tag>Gor17</b:Tag>
    <b:SourceType>Book</b:SourceType>
    <b:Guid>{521C6B99-2277-4590-8180-88B402A478DE}</b:Guid>
    <b:Author>
      <b:Author>
        <b:NameList>
          <b:Person>
            <b:Last>Gorgal</b:Last>
            <b:First>Leandro</b:First>
          </b:Person>
        </b:NameList>
      </b:Author>
    </b:Author>
    <b:Title>El reto de mejorar la capacitación en funcionarios públicos en América Larina.</b:Title>
    <b:Year>2017</b:Year>
    <b:City>Paraguay</b:City>
    <b:Publisher>Asunción editores.</b:Publisher>
    <b:RefOrder>4</b:RefOrder>
  </b:Source>
  <b:Source>
    <b:Tag>Pri24</b:Tag>
    <b:SourceType>InternetSite</b:SourceType>
    <b:Guid>{74D8BD9C-A980-4B21-8542-00FC1179BF98}</b:Guid>
    <b:Author>
      <b:Author>
        <b:NameList>
          <b:Person>
            <b:Last>Prieto</b:Last>
            <b:First>Gonzalo</b:First>
          </b:Person>
        </b:NameList>
      </b:Author>
    </b:Author>
    <b:Title>La Administración Pública según autores</b:Title>
    <b:Year>2024</b:Year>
    <b:URL>https://www.euroinnova.ec/blog/que-es-administracion-publica-segun-autores#:~:text=y%20de%20derecho.-,Seg%C3%BAn%20Gonz%C3%A1lez%20Prieto,que%20imperan%20en%20el%20Estado.</b:URL>
    <b:RefOrder>5</b:RefOrder>
  </b:Source>
  <b:Source>
    <b:Tag>Wit20</b:Tag>
    <b:SourceType>Book</b:SourceType>
    <b:Guid>{1FE473FD-4371-41B4-9479-445301EE6F03}</b:Guid>
    <b:Author>
      <b:Author>
        <b:NameList>
          <b:Person>
            <b:Last>Wittkamper</b:Last>
            <b:First>Gerhard</b:First>
          </b:Person>
        </b:NameList>
      </b:Author>
    </b:Author>
    <b:Title>La importancia de la formación política para la cultura política. </b:Title>
    <b:Year>2020</b:Year>
    <b:City>Alemania</b:City>
    <b:Publisher>Redición Deutschland</b:Publisher>
    <b:RefOrder>6</b:RefOrder>
  </b:Source>
  <b:Source>
    <b:Tag>Oya12</b:Tag>
    <b:SourceType>Book</b:SourceType>
    <b:Guid>{5AE8CE2E-84D3-467C-B990-89234B524EDC}</b:Guid>
    <b:Title>Derecho constitucional Ecuatoriano y comparado</b:Title>
    <b:Year>2015</b:Year>
    <b:City>Quito</b:City>
    <b:Publisher>Corporación de Estudios y Participaciones</b:Publisher>
    <b:Author>
      <b:Author>
        <b:NameList>
          <b:Person>
            <b:Last>Oyarte</b:Last>
            <b:First>Rafael</b:First>
          </b:Person>
        </b:NameList>
      </b:Author>
    </b:Author>
    <b:RefOrder>7</b:RefOrder>
  </b:Source>
  <b:Source>
    <b:Tag>Ins12</b:Tag>
    <b:SourceType>Report</b:SourceType>
    <b:Guid>{88A92EE0-77D4-4447-A259-C476FAD534B8}</b:Guid>
    <b:Title>Aplicaciones prácticas al Código de la Democracia.</b:Title>
    <b:Year>2012</b:Year>
    <b:City>Quito</b:City>
    <b:Author>
      <b:Author>
        <b:Corporate>Insituto Nacional Demócrata</b:Corporate>
      </b:Author>
    </b:Author>
    <b:RefOrder>8</b:RefOrder>
  </b:Source>
  <b:Source>
    <b:Tag>Dia231</b:Tag>
    <b:SourceType>Interview</b:SourceType>
    <b:Guid>{5979E4D6-466D-4104-A16C-0BC697A4D211}</b:Guid>
    <b:Title>Encuestadoras apoyan al Código de la Democracia</b:Title>
    <b:Year>2023</b:Year>
    <b:Month>mayo</b:Month>
    <b:Author>
      <b:Interviewee>
        <b:NameList>
          <b:Person>
            <b:Last>Universo</b:Last>
            <b:First>Diario</b:First>
          </b:Person>
        </b:NameList>
      </b:Interviewee>
      <b:Interviewer>
        <b:NameList>
          <b:Person>
            <b:Last>Tamaín</b:Last>
            <b:First>Diana</b:First>
          </b:Person>
        </b:NameList>
      </b:Interviewer>
    </b:Author>
    <b:RefOrder>9</b:RefOrder>
  </b:Source>
  <b:Source>
    <b:Tag>Ern84</b:Tag>
    <b:SourceType>Book</b:SourceType>
    <b:Guid>{43211D37-4F7A-4A24-82EA-085A305247B0}</b:Guid>
    <b:Author>
      <b:Author>
        <b:NameList>
          <b:Person>
            <b:Last>Montaner</b:Last>
            <b:First>Ernesto</b:First>
          </b:Person>
        </b:NameList>
      </b:Author>
    </b:Author>
    <b:Title>Capacitación política y formación de</b:Title>
    <b:Year>2011</b:Year>
    <b:City>Chile</b:City>
    <b:Publisher>Redición</b:Publisher>
    <b:RefOrder>10</b:RefOrder>
  </b:Source>
  <b:Source>
    <b:Tag>Fla16</b:Tag>
    <b:SourceType>Book</b:SourceType>
    <b:Guid>{BCD44110-1FBA-4F76-9639-C8A7C15F278B}</b:Guid>
    <b:Author>
      <b:Author>
        <b:NameList>
          <b:Person>
            <b:Last>Pachano</b:Last>
            <b:First>Flavia</b:First>
            <b:Middle>Freidenberg y Simon</b:Middle>
          </b:Person>
        </b:NameList>
      </b:Author>
    </b:Author>
    <b:Title>El sistema político ecuatoriano </b:Title>
    <b:Year>2016</b:Year>
    <b:City>Quito </b:City>
    <b:Publisher>FLACSO</b:Publisher>
    <b:RefOrder>11</b:RefOrder>
  </b:Source>
  <b:Source>
    <b:Tag>Jua101</b:Tag>
    <b:SourceType>Book</b:SourceType>
    <b:Guid>{042C306E-7876-4573-9F62-6D0316F70845}</b:Guid>
    <b:Author>
      <b:Author>
        <b:NameList>
          <b:Person>
            <b:Last>Medina</b:Last>
            <b:First>Juan</b:First>
          </b:Person>
        </b:NameList>
      </b:Author>
    </b:Author>
    <b:Title>Otras áreas de la ciencia políticas</b:Title>
    <b:Year>2010 </b:Year>
    <b:RefOrder>12</b:RefOrder>
  </b:Source>
  <b:Source>
    <b:Tag>Ser08</b:Tag>
    <b:SourceType>JournalArticle</b:SourceType>
    <b:Guid>{05D9519B-4233-4C34-88C9-C0EC6D54D9A6}</b:Guid>
    <b:Author>
      <b:Author>
        <b:NameList xmlns:msxsl="urn:schemas-microsoft-com:xslt" xmlns:b="http://schemas.openxmlformats.org/officeDocument/2006/bibliography">
          <b:Person>
            <b:Last>Serna</b:Last>
            <b:First>Miquel</b:First>
            <b:Middle>Salvador</b:Middle>
          </b:Person>
        </b:NameList>
      </b:Author>
    </b:Author>
    <b:Title>Nuevas tendencias en gestión de recursos humanos en las Administraciones públicas: ¿están cambiando las reglas del juego?</b:Title>
    <b:JournalName>Revista Internacional de Organizaciones</b:JournalName>
    <b:City/>
    <b:Year>2008</b:Year>
    <b:Month/>
    <b:Day/>
    <b:Pages>109-127</b:Pages>
    <b:Publisher/>
    <b:Volume/>
    <b:Issue>1</b:Issue>
    <b:ShortTitle/>
    <b:StandardNumber/>
    <b:Comments/>
    <b:Medium/>
    <b:YearAccessed>2024</b:YearAccessed>
    <b:MonthAccessed>4</b:MonthAccessed>
    <b:DayAccessed>4</b:DayAccessed>
    <b:URL>http://revista-rio.org/index.php/revista_rio/article/view/10</b:URL>
    <b:DOI/>
    <b:RefOrder>13</b:RefOrder>
  </b:Source>
  <b:Source>
    <b:Tag>Rob01</b:Tag>
    <b:SourceType>Book</b:SourceType>
    <b:Guid>{3BA9B6A5-80CB-4312-92CE-F58373AAF922}</b:Guid>
    <b:Author>
      <b:Author>
        <b:NameList>
          <b:Person>
            <b:Last>Michels</b:Last>
            <b:First>Robert</b:First>
          </b:Person>
        </b:NameList>
      </b:Author>
    </b:Author>
    <b:Title>Los Partidos Políticos </b:Title>
    <b:Year>2001</b:Year>
    <b:City>Buenos Aires </b:City>
    <b:RefOrder>14</b:RefOrder>
  </b:Source>
  <b:Source>
    <b:Tag>Guy95</b:Tag>
    <b:SourceType>Book</b:SourceType>
    <b:Guid>{0A96481B-8FF2-4076-B4A8-CE5B2A78C7FF}</b:Guid>
    <b:Author>
      <b:Author>
        <b:NameList>
          <b:Person>
            <b:Last>Peters</b:Last>
            <b:First>Guy</b:First>
          </b:Person>
        </b:NameList>
      </b:Author>
    </b:Author>
    <b:Title>La Política de la Burocracia</b:Title>
    <b:Year>2015</b:Year>
    <b:City>México</b:City>
    <b:Publisher>Legalidad editores</b:Publisher>
    <b:RefOrder>15</b:RefOrder>
  </b:Source>
  <b:Source>
    <b:Tag>Her18</b:Tag>
    <b:SourceType>Book</b:SourceType>
    <b:Guid>{F71D57E1-4E8B-40E5-B61B-CAFA70E48B5C}</b:Guid>
    <b:Title>Metodología de la investigación, las rutas cualitativas, cuantitativas y mixta</b:Title>
    <b:Year>2018</b:Year>
    <b:City>México</b:City>
    <b:Publisher>RUDICS</b:Publisher>
    <b:Author>
      <b:Author>
        <b:NameList>
          <b:Person>
            <b:Last>Hernández</b:Last>
            <b:First>Sampieri</b:First>
          </b:Person>
        </b:NameList>
      </b:Author>
    </b:Author>
    <b:RefOrder>16</b:RefOrder>
  </b:Source>
  <b:Source>
    <b:Tag>Wit19</b:Tag>
    <b:SourceType>JournalArticle</b:SourceType>
    <b:Guid>{88775A4B-92CA-4945-AE78-F2CE2842D20E}</b:Guid>
    <b:Title>La importancia de la formación política para la cultura política</b:Title>
    <b:Year>2019</b:Year>
    <b:Author>
      <b:Author>
        <b:NameList>
          <b:Person>
            <b:Last>Wittcamper</b:Last>
            <b:First>Gerhard</b:First>
          </b:Person>
        </b:NameList>
      </b:Author>
    </b:Author>
    <b:Pages>12</b:Pages>
    <b:RefOrder>17</b:RefOrder>
  </b:Source>
  <b:Source>
    <b:Tag>Góm18</b:Tag>
    <b:SourceType>JournalArticle</b:SourceType>
    <b:Guid>{FAD64633-628A-4E26-8FA4-89B64ED80C8C}</b:Guid>
    <b:Title>La educación y su relación con la administración pública y gobernanza</b:Title>
    <b:Year>2018</b:Year>
    <b:Pages>2 - 4</b:Pages>
    <b:Author>
      <b:Author>
        <b:NameList>
          <b:Person>
            <b:Last>Gómez</b:Last>
            <b:First>Carlos</b:First>
          </b:Person>
        </b:NameList>
      </b:Author>
    </b:Author>
    <b:RefOrder>18</b:RefOrder>
  </b:Source>
  <b:Source>
    <b:Tag>MarcadorDePosición1</b:Tag>
    <b:SourceType>JournalArticle</b:SourceType>
    <b:Guid>{83B2556A-2817-4697-B4E4-EB1D7F69EFCF}</b:Guid>
    <b:Author>
      <b:Author>
        <b:NameList>
          <b:Person>
            <b:Last>Pérez</b:Last>
            <b:First>Alfredo</b:First>
          </b:Person>
        </b:NameList>
      </b:Author>
    </b:Author>
    <b:Title>Política y Administración Pública</b:Title>
    <b:JournalName>Clad Reforma y Democrácia</b:JournalName>
    <b:Year>2019</b:Year>
    <b:Pages>3</b:Pages>
    <b:RefOrder>19</b:RefOrder>
  </b:Source>
</b:Sources>
</file>

<file path=customXml/itemProps1.xml><?xml version="1.0" encoding="utf-8"?>
<ds:datastoreItem xmlns:ds="http://schemas.openxmlformats.org/officeDocument/2006/customXml" ds:itemID="{B0DFA612-8ABE-44AB-9E04-9C8BAAC4F3D0}">
  <ds:schemaRefs>
    <ds:schemaRef ds:uri="http://schemas.openxmlformats.org/officeDocument/2006/bibliography"/>
    <ds:schemaRef ds:uri="urn:schemas-microsoft-com:xslt"/>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2269</Words>
  <Characters>12483</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Lopez</dc:creator>
  <cp:keywords/>
  <dc:description/>
  <cp:lastModifiedBy>Marlene Lopez</cp:lastModifiedBy>
  <cp:revision>3</cp:revision>
  <cp:lastPrinted>2026-01-05T15:00:00Z</cp:lastPrinted>
  <dcterms:created xsi:type="dcterms:W3CDTF">2026-01-05T15:01:00Z</dcterms:created>
  <dcterms:modified xsi:type="dcterms:W3CDTF">2026-01-05T15:03:00Z</dcterms:modified>
</cp:coreProperties>
</file>